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06D" w:rsidRPr="00D9657D" w:rsidRDefault="00D42143" w:rsidP="00D42143">
      <w:pPr>
        <w:jc w:val="center"/>
        <w:rPr>
          <w:rFonts w:ascii="Segoe UI" w:hAnsi="Segoe UI" w:cs="Segoe UI"/>
          <w:b/>
          <w:color w:val="66C1BF"/>
          <w:sz w:val="28"/>
        </w:rPr>
      </w:pPr>
      <w:r>
        <w:rPr>
          <w:rFonts w:ascii="Segoe UI" w:hAnsi="Segoe UI" w:cs="Segoe UI"/>
          <w:b/>
          <w:color w:val="66C1BF"/>
          <w:sz w:val="28"/>
        </w:rPr>
        <w:t>Our commitment to diversity and equality</w:t>
      </w:r>
    </w:p>
    <w:p w:rsidR="00D42143" w:rsidRPr="00D42143" w:rsidRDefault="00D42143" w:rsidP="00D42143">
      <w:pPr>
        <w:spacing w:after="0" w:line="240" w:lineRule="auto"/>
        <w:jc w:val="both"/>
        <w:rPr>
          <w:rFonts w:ascii="Segoe UI" w:hAnsi="Segoe UI" w:cs="Segoe UI"/>
        </w:rPr>
      </w:pPr>
      <w:r w:rsidRPr="00D42143">
        <w:rPr>
          <w:rFonts w:ascii="Segoe UI" w:hAnsi="Segoe UI" w:cs="Segoe UI"/>
        </w:rPr>
        <w:t xml:space="preserve">At </w:t>
      </w:r>
      <w:r w:rsidR="001C26D8">
        <w:rPr>
          <w:rFonts w:ascii="Segoe UI" w:hAnsi="Segoe UI" w:cs="Segoe UI"/>
        </w:rPr>
        <w:t>mydentist</w:t>
      </w:r>
      <w:r w:rsidRPr="00D42143">
        <w:rPr>
          <w:rFonts w:ascii="Segoe UI" w:hAnsi="Segoe UI" w:cs="Segoe UI"/>
        </w:rPr>
        <w:t>, we take our commitments to diversity and equality seriously. We want to employ, attract and reward the best people, irrespective of gender, age, race, background, sexuality</w:t>
      </w:r>
      <w:r w:rsidR="007A624E">
        <w:rPr>
          <w:rFonts w:ascii="Segoe UI" w:hAnsi="Segoe UI" w:cs="Segoe UI"/>
        </w:rPr>
        <w:t>,</w:t>
      </w:r>
      <w:r w:rsidRPr="00D42143">
        <w:rPr>
          <w:rFonts w:ascii="Segoe UI" w:hAnsi="Segoe UI" w:cs="Segoe UI"/>
        </w:rPr>
        <w:t xml:space="preserve"> or any other factor. </w:t>
      </w:r>
    </w:p>
    <w:p w:rsidR="00D42143" w:rsidRDefault="00D42143" w:rsidP="00D42143">
      <w:pPr>
        <w:pStyle w:val="ListParagraph"/>
        <w:spacing w:after="0" w:line="240" w:lineRule="auto"/>
        <w:ind w:left="360"/>
        <w:jc w:val="both"/>
        <w:rPr>
          <w:rFonts w:ascii="Segoe UI" w:hAnsi="Segoe UI" w:cs="Segoe UI"/>
        </w:rPr>
      </w:pPr>
    </w:p>
    <w:p w:rsidR="00D42143" w:rsidRPr="00D42143" w:rsidRDefault="00D42143" w:rsidP="00D42143">
      <w:pPr>
        <w:spacing w:after="0" w:line="240" w:lineRule="auto"/>
        <w:jc w:val="both"/>
        <w:rPr>
          <w:rFonts w:ascii="Segoe UI" w:hAnsi="Segoe UI" w:cs="Segoe UI"/>
        </w:rPr>
      </w:pPr>
      <w:r w:rsidRPr="00D42143">
        <w:rPr>
          <w:rFonts w:ascii="Segoe UI" w:hAnsi="Segoe UI" w:cs="Segoe UI"/>
        </w:rPr>
        <w:t xml:space="preserve">We are confident that every person who works at </w:t>
      </w:r>
      <w:r w:rsidR="00DE272F">
        <w:rPr>
          <w:rFonts w:ascii="Segoe UI" w:hAnsi="Segoe UI" w:cs="Segoe UI"/>
        </w:rPr>
        <w:t>mydentist</w:t>
      </w:r>
      <w:r w:rsidRPr="00D42143">
        <w:rPr>
          <w:rFonts w:ascii="Segoe UI" w:hAnsi="Segoe UI" w:cs="Segoe UI"/>
        </w:rPr>
        <w:t xml:space="preserve"> is paid equally for the work they do. We have a robust set of policies and procedures to ensure this happens and we </w:t>
      </w:r>
      <w:r w:rsidR="00704AAB">
        <w:rPr>
          <w:rFonts w:ascii="Segoe UI" w:hAnsi="Segoe UI" w:cs="Segoe UI"/>
        </w:rPr>
        <w:t>do not tolerate</w:t>
      </w:r>
      <w:r w:rsidRPr="00D42143">
        <w:rPr>
          <w:rFonts w:ascii="Segoe UI" w:hAnsi="Segoe UI" w:cs="Segoe UI"/>
        </w:rPr>
        <w:t xml:space="preserve"> unfair treatment of any kind.</w:t>
      </w:r>
    </w:p>
    <w:p w:rsidR="00D42143" w:rsidRDefault="00D42143" w:rsidP="00D42143">
      <w:pPr>
        <w:pStyle w:val="ListParagraph"/>
        <w:spacing w:after="0" w:line="240" w:lineRule="auto"/>
        <w:ind w:left="360"/>
        <w:jc w:val="both"/>
        <w:rPr>
          <w:rFonts w:ascii="Segoe UI" w:hAnsi="Segoe UI" w:cs="Segoe UI"/>
        </w:rPr>
      </w:pPr>
    </w:p>
    <w:p w:rsidR="00D42143" w:rsidRPr="00D42143" w:rsidRDefault="00D42143" w:rsidP="00D42143">
      <w:pPr>
        <w:spacing w:after="0" w:line="240" w:lineRule="auto"/>
        <w:jc w:val="both"/>
        <w:rPr>
          <w:rFonts w:ascii="Segoe UI" w:hAnsi="Segoe UI" w:cs="Segoe UI"/>
        </w:rPr>
      </w:pPr>
      <w:r w:rsidRPr="00D42143">
        <w:rPr>
          <w:rFonts w:ascii="Segoe UI" w:hAnsi="Segoe UI" w:cs="Segoe UI"/>
        </w:rPr>
        <w:t xml:space="preserve">Our published gender pay gap reflects the fact that the vast majority of our dental practices, which typically pay lower hourly rates, employ women, whereas our Support Centre, which includes our most senior roles, is more evenly split. </w:t>
      </w:r>
    </w:p>
    <w:p w:rsidR="00D42143" w:rsidRDefault="00D42143" w:rsidP="00D42143">
      <w:pPr>
        <w:pStyle w:val="ListParagraph"/>
        <w:spacing w:after="0" w:line="240" w:lineRule="auto"/>
        <w:ind w:left="360"/>
        <w:jc w:val="both"/>
        <w:rPr>
          <w:rFonts w:ascii="Segoe UI" w:hAnsi="Segoe UI" w:cs="Segoe UI"/>
        </w:rPr>
      </w:pPr>
    </w:p>
    <w:p w:rsidR="00D42143" w:rsidRPr="00D42143" w:rsidRDefault="00D42143" w:rsidP="00D42143">
      <w:pPr>
        <w:spacing w:after="0" w:line="240" w:lineRule="auto"/>
        <w:jc w:val="both"/>
        <w:rPr>
          <w:rFonts w:ascii="Segoe UI" w:hAnsi="Segoe UI" w:cs="Segoe UI"/>
        </w:rPr>
      </w:pPr>
      <w:r w:rsidRPr="00D42143">
        <w:rPr>
          <w:rFonts w:ascii="Segoe UI" w:hAnsi="Segoe UI" w:cs="Segoe UI"/>
        </w:rPr>
        <w:t xml:space="preserve">This year, we are investing more than £2.5 million - our largest investment to date - to increase pay for nurses in our dental practices. </w:t>
      </w:r>
      <w:r w:rsidR="005A78D2" w:rsidRPr="005A78D2">
        <w:rPr>
          <w:rFonts w:ascii="Segoe UI" w:hAnsi="Segoe UI" w:cs="Segoe UI"/>
        </w:rPr>
        <w:t>95</w:t>
      </w:r>
      <w:r w:rsidRPr="005A78D2">
        <w:rPr>
          <w:rFonts w:ascii="Segoe UI" w:hAnsi="Segoe UI" w:cs="Segoe UI"/>
        </w:rPr>
        <w:t xml:space="preserve">% of </w:t>
      </w:r>
      <w:r w:rsidR="00CC5779" w:rsidRPr="005A78D2">
        <w:rPr>
          <w:rFonts w:ascii="Segoe UI" w:hAnsi="Segoe UI" w:cs="Segoe UI"/>
        </w:rPr>
        <w:t>all</w:t>
      </w:r>
      <w:r w:rsidRPr="005A78D2">
        <w:rPr>
          <w:rFonts w:ascii="Segoe UI" w:hAnsi="Segoe UI" w:cs="Segoe UI"/>
        </w:rPr>
        <w:t xml:space="preserve"> pay rises </w:t>
      </w:r>
      <w:r w:rsidR="00CC5779" w:rsidRPr="005A78D2">
        <w:rPr>
          <w:rFonts w:ascii="Segoe UI" w:hAnsi="Segoe UI" w:cs="Segoe UI"/>
        </w:rPr>
        <w:t xml:space="preserve">this </w:t>
      </w:r>
      <w:r w:rsidR="007A624E" w:rsidRPr="005A78D2">
        <w:rPr>
          <w:rFonts w:ascii="Segoe UI" w:hAnsi="Segoe UI" w:cs="Segoe UI"/>
        </w:rPr>
        <w:t xml:space="preserve">year </w:t>
      </w:r>
      <w:r w:rsidRPr="005A78D2">
        <w:rPr>
          <w:rFonts w:ascii="Segoe UI" w:hAnsi="Segoe UI" w:cs="Segoe UI"/>
        </w:rPr>
        <w:t>will go to women, and the average p</w:t>
      </w:r>
      <w:r w:rsidR="00CC5779" w:rsidRPr="005A78D2">
        <w:rPr>
          <w:rFonts w:ascii="Segoe UI" w:hAnsi="Segoe UI" w:cs="Segoe UI"/>
        </w:rPr>
        <w:t>ay rise for women this year is 2</w:t>
      </w:r>
      <w:r w:rsidR="001873F8">
        <w:rPr>
          <w:rFonts w:ascii="Segoe UI" w:hAnsi="Segoe UI" w:cs="Segoe UI"/>
        </w:rPr>
        <w:t>0</w:t>
      </w:r>
      <w:r w:rsidRPr="005A78D2">
        <w:rPr>
          <w:rFonts w:ascii="Segoe UI" w:hAnsi="Segoe UI" w:cs="Segoe UI"/>
        </w:rPr>
        <w:t>% higher than for men.</w:t>
      </w:r>
      <w:r w:rsidRPr="00D42143">
        <w:rPr>
          <w:rFonts w:ascii="Segoe UI" w:hAnsi="Segoe UI" w:cs="Segoe UI"/>
        </w:rPr>
        <w:t xml:space="preserve"> </w:t>
      </w:r>
    </w:p>
    <w:p w:rsidR="00D42143" w:rsidRDefault="00D42143" w:rsidP="00D42143">
      <w:pPr>
        <w:pStyle w:val="ListParagraph"/>
        <w:spacing w:after="0" w:line="240" w:lineRule="auto"/>
        <w:ind w:left="360"/>
        <w:jc w:val="both"/>
        <w:rPr>
          <w:rFonts w:ascii="Segoe UI" w:hAnsi="Segoe UI" w:cs="Segoe UI"/>
        </w:rPr>
      </w:pPr>
    </w:p>
    <w:p w:rsidR="00D42143" w:rsidRPr="00D42143" w:rsidRDefault="00704AAB" w:rsidP="00D42143">
      <w:pPr>
        <w:spacing w:after="0" w:line="240" w:lineRule="auto"/>
        <w:jc w:val="both"/>
        <w:rPr>
          <w:rFonts w:ascii="Segoe UI" w:hAnsi="Segoe UI" w:cs="Segoe UI"/>
        </w:rPr>
      </w:pPr>
      <w:r>
        <w:rPr>
          <w:rFonts w:ascii="Segoe UI" w:hAnsi="Segoe UI" w:cs="Segoe UI"/>
        </w:rPr>
        <w:t>There is still much more to do. We constantly review our policies and procedures and implement</w:t>
      </w:r>
      <w:r>
        <w:t xml:space="preserve"> appropriate actions to help make positive changes where required, and we are determined to continue improving t</w:t>
      </w:r>
      <w:r w:rsidR="00D42143" w:rsidRPr="00D42143">
        <w:rPr>
          <w:rFonts w:ascii="Segoe UI" w:hAnsi="Segoe UI" w:cs="Segoe UI"/>
        </w:rPr>
        <w:t xml:space="preserve">he </w:t>
      </w:r>
      <w:r>
        <w:rPr>
          <w:rFonts w:ascii="Segoe UI" w:hAnsi="Segoe UI" w:cs="Segoe UI"/>
        </w:rPr>
        <w:t xml:space="preserve">diversity of our workforce </w:t>
      </w:r>
      <w:r w:rsidR="007A624E">
        <w:rPr>
          <w:rFonts w:ascii="Segoe UI" w:hAnsi="Segoe UI" w:cs="Segoe UI"/>
        </w:rPr>
        <w:t>at all levels</w:t>
      </w:r>
      <w:r w:rsidR="00D42143" w:rsidRPr="00D42143">
        <w:rPr>
          <w:rFonts w:ascii="Segoe UI" w:hAnsi="Segoe UI" w:cs="Segoe UI"/>
        </w:rPr>
        <w:t xml:space="preserve"> to properly refle</w:t>
      </w:r>
      <w:r w:rsidR="00D42143">
        <w:rPr>
          <w:rFonts w:ascii="Segoe UI" w:hAnsi="Segoe UI" w:cs="Segoe UI"/>
        </w:rPr>
        <w:t>ct the culture of our business.</w:t>
      </w:r>
    </w:p>
    <w:p w:rsidR="00D42143" w:rsidRDefault="00D42143" w:rsidP="003E6ABC">
      <w:pPr>
        <w:spacing w:after="0" w:line="240" w:lineRule="auto"/>
        <w:jc w:val="both"/>
        <w:rPr>
          <w:rFonts w:ascii="Segoe UI" w:hAnsi="Segoe UI" w:cs="Segoe UI"/>
          <w:b/>
          <w:u w:val="single"/>
        </w:rPr>
      </w:pPr>
    </w:p>
    <w:p w:rsidR="003E6ABC" w:rsidRPr="00671DA1" w:rsidRDefault="00704AAB" w:rsidP="003E6ABC">
      <w:pPr>
        <w:spacing w:after="0" w:line="240" w:lineRule="auto"/>
        <w:jc w:val="both"/>
        <w:rPr>
          <w:rFonts w:ascii="Segoe UI" w:hAnsi="Segoe UI" w:cs="Segoe UI"/>
          <w:b/>
          <w:u w:val="single"/>
        </w:rPr>
      </w:pPr>
      <w:r>
        <w:rPr>
          <w:rFonts w:ascii="Segoe UI" w:hAnsi="Segoe UI" w:cs="Segoe UI"/>
          <w:b/>
          <w:u w:val="single"/>
        </w:rPr>
        <w:t>2017 Gender Pay Gap statistics</w:t>
      </w:r>
    </w:p>
    <w:p w:rsidR="007D2BAE" w:rsidRDefault="007D2BAE" w:rsidP="007D2BAE">
      <w:pPr>
        <w:spacing w:after="0" w:line="240" w:lineRule="auto"/>
        <w:contextualSpacing/>
        <w:jc w:val="both"/>
        <w:rPr>
          <w:rFonts w:ascii="Segoe UI" w:hAnsi="Segoe UI" w:cs="Segoe UI"/>
        </w:rPr>
      </w:pPr>
    </w:p>
    <w:p w:rsidR="00136D31" w:rsidRDefault="00136D31" w:rsidP="007D2BAE">
      <w:pPr>
        <w:spacing w:after="0" w:line="240" w:lineRule="auto"/>
        <w:contextualSpacing/>
        <w:jc w:val="both"/>
        <w:rPr>
          <w:rFonts w:ascii="Segoe UI" w:hAnsi="Segoe UI" w:cs="Segoe UI"/>
        </w:rPr>
      </w:pPr>
      <w:r>
        <w:rPr>
          <w:rFonts w:ascii="Segoe UI" w:hAnsi="Segoe UI" w:cs="Segoe UI"/>
        </w:rPr>
        <w:t xml:space="preserve">The majority of staff who work at </w:t>
      </w:r>
      <w:r w:rsidR="001C26D8">
        <w:rPr>
          <w:rFonts w:ascii="Segoe UI" w:hAnsi="Segoe UI" w:cs="Segoe UI"/>
        </w:rPr>
        <w:t>mydentist</w:t>
      </w:r>
      <w:r>
        <w:rPr>
          <w:rFonts w:ascii="Segoe UI" w:hAnsi="Segoe UI" w:cs="Segoe UI"/>
        </w:rPr>
        <w:t xml:space="preserve"> work at one of our local dentistry practices. More than 97% of these staff are women. </w:t>
      </w:r>
    </w:p>
    <w:p w:rsidR="00136D31" w:rsidRDefault="00136D31" w:rsidP="007D2BAE">
      <w:pPr>
        <w:spacing w:after="0" w:line="240" w:lineRule="auto"/>
        <w:contextualSpacing/>
        <w:jc w:val="both"/>
        <w:rPr>
          <w:rFonts w:ascii="Segoe UI" w:hAnsi="Segoe UI" w:cs="Segoe UI"/>
        </w:rPr>
      </w:pPr>
    </w:p>
    <w:p w:rsidR="00136D31" w:rsidRDefault="00136D31" w:rsidP="007D2BAE">
      <w:pPr>
        <w:spacing w:after="0" w:line="240" w:lineRule="auto"/>
        <w:contextualSpacing/>
        <w:jc w:val="both"/>
        <w:rPr>
          <w:rFonts w:ascii="Segoe UI" w:hAnsi="Segoe UI" w:cs="Segoe UI"/>
        </w:rPr>
      </w:pPr>
      <w:r>
        <w:rPr>
          <w:rFonts w:ascii="Segoe UI" w:hAnsi="Segoe UI" w:cs="Segoe UI"/>
        </w:rPr>
        <w:t xml:space="preserve">On average, </w:t>
      </w:r>
      <w:r w:rsidRPr="00136D31">
        <w:rPr>
          <w:rFonts w:ascii="Segoe UI" w:hAnsi="Segoe UI" w:cs="Segoe UI"/>
          <w:b/>
          <w:color w:val="BA4E97" w:themeColor="accent2"/>
        </w:rPr>
        <w:t>in our practices, women are paid 13% more</w:t>
      </w:r>
      <w:r>
        <w:rPr>
          <w:rFonts w:ascii="Segoe UI" w:hAnsi="Segoe UI" w:cs="Segoe UI"/>
        </w:rPr>
        <w:t xml:space="preserve"> per hour than men. </w:t>
      </w:r>
    </w:p>
    <w:p w:rsidR="00136D31" w:rsidRDefault="00136D31" w:rsidP="007D2BAE">
      <w:pPr>
        <w:spacing w:after="0" w:line="240" w:lineRule="auto"/>
        <w:contextualSpacing/>
        <w:jc w:val="both"/>
        <w:rPr>
          <w:rFonts w:ascii="Segoe UI" w:hAnsi="Segoe UI" w:cs="Segoe UI"/>
        </w:rPr>
      </w:pPr>
    </w:p>
    <w:p w:rsidR="00136D31" w:rsidRDefault="00136D31" w:rsidP="007D2BAE">
      <w:pPr>
        <w:spacing w:after="0" w:line="240" w:lineRule="auto"/>
        <w:contextualSpacing/>
        <w:jc w:val="both"/>
        <w:rPr>
          <w:rFonts w:ascii="Segoe UI" w:hAnsi="Segoe UI" w:cs="Segoe UI"/>
        </w:rPr>
      </w:pPr>
      <w:r>
        <w:rPr>
          <w:rFonts w:ascii="Segoe UI" w:hAnsi="Segoe UI" w:cs="Segoe UI"/>
        </w:rPr>
        <w:t xml:space="preserve">Our Support Centre includes our most </w:t>
      </w:r>
      <w:r w:rsidR="007A624E">
        <w:rPr>
          <w:rFonts w:ascii="Segoe UI" w:hAnsi="Segoe UI" w:cs="Segoe UI"/>
        </w:rPr>
        <w:t>senior roles across the company</w:t>
      </w:r>
      <w:r>
        <w:rPr>
          <w:rFonts w:ascii="Segoe UI" w:hAnsi="Segoe UI" w:cs="Segoe UI"/>
        </w:rPr>
        <w:t xml:space="preserve"> and is more evenly split between men and women. These roles typically attract a slightly higher rate of pay.</w:t>
      </w:r>
    </w:p>
    <w:p w:rsidR="00136D31" w:rsidRDefault="00136D31" w:rsidP="007D2BAE">
      <w:pPr>
        <w:spacing w:after="0" w:line="240" w:lineRule="auto"/>
        <w:contextualSpacing/>
        <w:jc w:val="both"/>
        <w:rPr>
          <w:rFonts w:ascii="Segoe UI" w:hAnsi="Segoe UI" w:cs="Segoe UI"/>
        </w:rPr>
      </w:pPr>
    </w:p>
    <w:p w:rsidR="00136D31" w:rsidRPr="00136D31" w:rsidRDefault="00136D31" w:rsidP="00136D31">
      <w:pPr>
        <w:spacing w:after="0" w:line="240" w:lineRule="auto"/>
        <w:contextualSpacing/>
        <w:jc w:val="both"/>
        <w:rPr>
          <w:rFonts w:ascii="Segoe UI" w:hAnsi="Segoe UI" w:cs="Segoe UI"/>
        </w:rPr>
      </w:pPr>
      <w:r w:rsidRPr="00136D31">
        <w:rPr>
          <w:rFonts w:ascii="Segoe UI" w:hAnsi="Segoe UI" w:cs="Segoe UI"/>
          <w:b/>
          <w:color w:val="BA4E97" w:themeColor="accent2"/>
        </w:rPr>
        <w:t>Women make up 5</w:t>
      </w:r>
      <w:r w:rsidR="001873F8">
        <w:rPr>
          <w:rFonts w:ascii="Segoe UI" w:hAnsi="Segoe UI" w:cs="Segoe UI"/>
          <w:b/>
          <w:color w:val="BA4E97" w:themeColor="accent2"/>
        </w:rPr>
        <w:t>4</w:t>
      </w:r>
      <w:r w:rsidRPr="00136D31">
        <w:rPr>
          <w:rFonts w:ascii="Segoe UI" w:hAnsi="Segoe UI" w:cs="Segoe UI"/>
          <w:b/>
          <w:color w:val="BA4E97" w:themeColor="accent2"/>
        </w:rPr>
        <w:t>% of our</w:t>
      </w:r>
      <w:r w:rsidR="00617BF8">
        <w:rPr>
          <w:rFonts w:ascii="Segoe UI" w:hAnsi="Segoe UI" w:cs="Segoe UI"/>
          <w:b/>
          <w:color w:val="BA4E97" w:themeColor="accent2"/>
        </w:rPr>
        <w:t xml:space="preserve"> 100</w:t>
      </w:r>
      <w:r w:rsidRPr="00136D31">
        <w:rPr>
          <w:rFonts w:ascii="Segoe UI" w:hAnsi="Segoe UI" w:cs="Segoe UI"/>
          <w:b/>
          <w:color w:val="BA4E97" w:themeColor="accent2"/>
        </w:rPr>
        <w:t xml:space="preserve"> </w:t>
      </w:r>
      <w:r w:rsidR="00617BF8">
        <w:rPr>
          <w:rFonts w:ascii="Segoe UI" w:hAnsi="Segoe UI" w:cs="Segoe UI"/>
          <w:b/>
          <w:color w:val="BA4E97" w:themeColor="accent2"/>
        </w:rPr>
        <w:t>highest paid roles</w:t>
      </w:r>
      <w:r w:rsidRPr="00136D31">
        <w:rPr>
          <w:rFonts w:ascii="Segoe UI" w:hAnsi="Segoe UI" w:cs="Segoe UI"/>
        </w:rPr>
        <w:t xml:space="preserve">, and the mean gender pay gap of our highest paid 100 employees is </w:t>
      </w:r>
      <w:r w:rsidR="001873F8">
        <w:rPr>
          <w:rFonts w:ascii="Segoe UI" w:hAnsi="Segoe UI" w:cs="Segoe UI"/>
          <w:b/>
          <w:color w:val="BA4E97" w:themeColor="accent2"/>
        </w:rPr>
        <w:t>8.52</w:t>
      </w:r>
      <w:r w:rsidRPr="00136D31">
        <w:rPr>
          <w:rFonts w:ascii="Segoe UI" w:hAnsi="Segoe UI" w:cs="Segoe UI"/>
          <w:b/>
          <w:color w:val="BA4E97" w:themeColor="accent2"/>
        </w:rPr>
        <w:t>%</w:t>
      </w:r>
    </w:p>
    <w:p w:rsidR="00136D31" w:rsidRDefault="00136D31" w:rsidP="007D2BAE">
      <w:pPr>
        <w:spacing w:after="0" w:line="240" w:lineRule="auto"/>
        <w:contextualSpacing/>
        <w:jc w:val="both"/>
        <w:rPr>
          <w:rFonts w:ascii="Segoe UI" w:hAnsi="Segoe UI" w:cs="Segoe UI"/>
        </w:rPr>
      </w:pPr>
    </w:p>
    <w:tbl>
      <w:tblPr>
        <w:tblStyle w:val="TableGrid"/>
        <w:tblW w:w="0" w:type="auto"/>
        <w:tblLook w:val="04A0" w:firstRow="1" w:lastRow="0" w:firstColumn="1" w:lastColumn="0" w:noHBand="0" w:noVBand="1"/>
      </w:tblPr>
      <w:tblGrid>
        <w:gridCol w:w="4508"/>
        <w:gridCol w:w="4508"/>
      </w:tblGrid>
      <w:tr w:rsidR="00704AAB" w:rsidTr="00704AAB">
        <w:tc>
          <w:tcPr>
            <w:tcW w:w="4508" w:type="dxa"/>
          </w:tcPr>
          <w:p w:rsidR="00704AAB" w:rsidRPr="00136D31" w:rsidRDefault="00704AAB" w:rsidP="00136D31">
            <w:pPr>
              <w:contextualSpacing/>
              <w:jc w:val="center"/>
              <w:rPr>
                <w:rFonts w:ascii="Segoe UI" w:hAnsi="Segoe UI" w:cs="Segoe UI"/>
                <w:b/>
              </w:rPr>
            </w:pPr>
            <w:r w:rsidRPr="00136D31">
              <w:rPr>
                <w:rFonts w:ascii="Segoe UI" w:hAnsi="Segoe UI" w:cs="Segoe UI"/>
                <w:b/>
              </w:rPr>
              <w:t xml:space="preserve">Practice </w:t>
            </w:r>
            <w:r w:rsidR="00F60AC1">
              <w:rPr>
                <w:rFonts w:ascii="Segoe UI" w:hAnsi="Segoe UI" w:cs="Segoe UI"/>
                <w:b/>
              </w:rPr>
              <w:t xml:space="preserve">employees </w:t>
            </w:r>
            <w:r w:rsidR="00136D31" w:rsidRPr="00136D31">
              <w:rPr>
                <w:rFonts w:ascii="Segoe UI" w:hAnsi="Segoe UI" w:cs="Segoe UI"/>
                <w:b/>
              </w:rPr>
              <w:t>– Gender Pay Gap</w:t>
            </w:r>
          </w:p>
        </w:tc>
        <w:tc>
          <w:tcPr>
            <w:tcW w:w="4508" w:type="dxa"/>
          </w:tcPr>
          <w:p w:rsidR="00704AAB" w:rsidRPr="00136D31" w:rsidRDefault="00704AAB" w:rsidP="00136D31">
            <w:pPr>
              <w:contextualSpacing/>
              <w:jc w:val="center"/>
              <w:rPr>
                <w:rFonts w:ascii="Segoe UI" w:hAnsi="Segoe UI" w:cs="Segoe UI"/>
                <w:b/>
              </w:rPr>
            </w:pPr>
            <w:r w:rsidRPr="00136D31">
              <w:rPr>
                <w:rFonts w:ascii="Segoe UI" w:hAnsi="Segoe UI" w:cs="Segoe UI"/>
                <w:b/>
              </w:rPr>
              <w:t xml:space="preserve">All </w:t>
            </w:r>
            <w:r w:rsidR="00F60AC1">
              <w:rPr>
                <w:rFonts w:ascii="Segoe UI" w:hAnsi="Segoe UI" w:cs="Segoe UI"/>
                <w:b/>
              </w:rPr>
              <w:t>employees</w:t>
            </w:r>
            <w:r w:rsidR="00136D31" w:rsidRPr="00136D31">
              <w:rPr>
                <w:rFonts w:ascii="Segoe UI" w:hAnsi="Segoe UI" w:cs="Segoe UI"/>
                <w:b/>
              </w:rPr>
              <w:t xml:space="preserve"> – Gender Pay Gap</w:t>
            </w:r>
          </w:p>
        </w:tc>
      </w:tr>
      <w:tr w:rsidR="00136D31" w:rsidTr="00704AAB">
        <w:tc>
          <w:tcPr>
            <w:tcW w:w="4508" w:type="dxa"/>
          </w:tcPr>
          <w:p w:rsidR="00136D31" w:rsidRDefault="00136D31" w:rsidP="00136D31">
            <w:pPr>
              <w:contextualSpacing/>
              <w:jc w:val="both"/>
              <w:rPr>
                <w:rFonts w:ascii="Segoe UI" w:hAnsi="Segoe UI" w:cs="Segoe UI"/>
              </w:rPr>
            </w:pPr>
            <w:r>
              <w:rPr>
                <w:rFonts w:ascii="Segoe UI" w:hAnsi="Segoe UI" w:cs="Segoe UI"/>
              </w:rPr>
              <w:t xml:space="preserve">The mean gender pay gap for practice </w:t>
            </w:r>
            <w:r w:rsidR="00F60AC1">
              <w:rPr>
                <w:rFonts w:ascii="Segoe UI" w:hAnsi="Segoe UI" w:cs="Segoe UI"/>
              </w:rPr>
              <w:t xml:space="preserve">employees </w:t>
            </w:r>
            <w:r>
              <w:rPr>
                <w:rFonts w:ascii="Segoe UI" w:hAnsi="Segoe UI" w:cs="Segoe UI"/>
              </w:rPr>
              <w:t>is -13.28%</w:t>
            </w:r>
          </w:p>
        </w:tc>
        <w:tc>
          <w:tcPr>
            <w:tcW w:w="4508" w:type="dxa"/>
          </w:tcPr>
          <w:p w:rsidR="00136D31" w:rsidRDefault="00136D31" w:rsidP="00136D31">
            <w:pPr>
              <w:contextualSpacing/>
              <w:jc w:val="both"/>
              <w:rPr>
                <w:rFonts w:ascii="Segoe UI" w:hAnsi="Segoe UI" w:cs="Segoe UI"/>
              </w:rPr>
            </w:pPr>
            <w:r>
              <w:rPr>
                <w:rFonts w:ascii="Segoe UI" w:hAnsi="Segoe UI" w:cs="Segoe UI"/>
              </w:rPr>
              <w:t xml:space="preserve">The mean gender pay gap for all </w:t>
            </w:r>
            <w:r w:rsidR="00F60AC1">
              <w:rPr>
                <w:rFonts w:ascii="Segoe UI" w:hAnsi="Segoe UI" w:cs="Segoe UI"/>
              </w:rPr>
              <w:t>employees</w:t>
            </w:r>
            <w:r w:rsidR="001873F8">
              <w:rPr>
                <w:rFonts w:ascii="Segoe UI" w:hAnsi="Segoe UI" w:cs="Segoe UI"/>
              </w:rPr>
              <w:t xml:space="preserve"> is 43.7</w:t>
            </w:r>
            <w:r>
              <w:rPr>
                <w:rFonts w:ascii="Segoe UI" w:hAnsi="Segoe UI" w:cs="Segoe UI"/>
              </w:rPr>
              <w:t>%</w:t>
            </w:r>
          </w:p>
        </w:tc>
      </w:tr>
      <w:tr w:rsidR="00136D31" w:rsidTr="00704AAB">
        <w:tc>
          <w:tcPr>
            <w:tcW w:w="4508" w:type="dxa"/>
          </w:tcPr>
          <w:p w:rsidR="00136D31" w:rsidRDefault="00136D31" w:rsidP="00136D31">
            <w:pPr>
              <w:contextualSpacing/>
              <w:jc w:val="both"/>
              <w:rPr>
                <w:rFonts w:ascii="Segoe UI" w:hAnsi="Segoe UI" w:cs="Segoe UI"/>
              </w:rPr>
            </w:pPr>
            <w:r>
              <w:rPr>
                <w:rFonts w:ascii="Segoe UI" w:hAnsi="Segoe UI" w:cs="Segoe UI"/>
              </w:rPr>
              <w:t>The median gend</w:t>
            </w:r>
            <w:r w:rsidR="00F60AC1">
              <w:rPr>
                <w:rFonts w:ascii="Segoe UI" w:hAnsi="Segoe UI" w:cs="Segoe UI"/>
              </w:rPr>
              <w:t>er pay gap for practice</w:t>
            </w:r>
            <w:r>
              <w:rPr>
                <w:rFonts w:ascii="Segoe UI" w:hAnsi="Segoe UI" w:cs="Segoe UI"/>
              </w:rPr>
              <w:t xml:space="preserve"> </w:t>
            </w:r>
            <w:r w:rsidR="00F60AC1">
              <w:rPr>
                <w:rFonts w:ascii="Segoe UI" w:hAnsi="Segoe UI" w:cs="Segoe UI"/>
              </w:rPr>
              <w:t>employees</w:t>
            </w:r>
            <w:r>
              <w:rPr>
                <w:rFonts w:ascii="Segoe UI" w:hAnsi="Segoe UI" w:cs="Segoe UI"/>
              </w:rPr>
              <w:t xml:space="preserve"> is </w:t>
            </w:r>
            <w:r w:rsidR="00847406">
              <w:rPr>
                <w:rFonts w:ascii="Segoe UI" w:hAnsi="Segoe UI" w:cs="Segoe UI"/>
              </w:rPr>
              <w:t>-</w:t>
            </w:r>
            <w:r>
              <w:rPr>
                <w:rFonts w:ascii="Segoe UI" w:hAnsi="Segoe UI" w:cs="Segoe UI"/>
              </w:rPr>
              <w:t>6.54%</w:t>
            </w:r>
          </w:p>
        </w:tc>
        <w:tc>
          <w:tcPr>
            <w:tcW w:w="4508" w:type="dxa"/>
          </w:tcPr>
          <w:p w:rsidR="00136D31" w:rsidRDefault="00136D31" w:rsidP="001873F8">
            <w:pPr>
              <w:contextualSpacing/>
              <w:jc w:val="both"/>
              <w:rPr>
                <w:rFonts w:ascii="Segoe UI" w:hAnsi="Segoe UI" w:cs="Segoe UI"/>
              </w:rPr>
            </w:pPr>
            <w:r>
              <w:rPr>
                <w:rFonts w:ascii="Segoe UI" w:hAnsi="Segoe UI" w:cs="Segoe UI"/>
              </w:rPr>
              <w:t xml:space="preserve">The median gender pay gap for all </w:t>
            </w:r>
            <w:r w:rsidR="00F60AC1">
              <w:rPr>
                <w:rFonts w:ascii="Segoe UI" w:hAnsi="Segoe UI" w:cs="Segoe UI"/>
              </w:rPr>
              <w:t>employees</w:t>
            </w:r>
            <w:r>
              <w:rPr>
                <w:rFonts w:ascii="Segoe UI" w:hAnsi="Segoe UI" w:cs="Segoe UI"/>
              </w:rPr>
              <w:t xml:space="preserve"> is 27.</w:t>
            </w:r>
            <w:r w:rsidR="001873F8">
              <w:rPr>
                <w:rFonts w:ascii="Segoe UI" w:hAnsi="Segoe UI" w:cs="Segoe UI"/>
              </w:rPr>
              <w:t>6%</w:t>
            </w:r>
          </w:p>
        </w:tc>
      </w:tr>
    </w:tbl>
    <w:p w:rsidR="00704AAB" w:rsidRDefault="00704AAB" w:rsidP="007D2BAE">
      <w:pPr>
        <w:spacing w:after="0" w:line="240" w:lineRule="auto"/>
        <w:contextualSpacing/>
        <w:jc w:val="both"/>
        <w:rPr>
          <w:rFonts w:ascii="Segoe UI" w:hAnsi="Segoe UI" w:cs="Segoe UI"/>
        </w:rPr>
      </w:pPr>
    </w:p>
    <w:p w:rsidR="00704AAB" w:rsidRPr="00617BF8" w:rsidRDefault="00136D31" w:rsidP="007D2BAE">
      <w:pPr>
        <w:spacing w:after="0" w:line="240" w:lineRule="auto"/>
        <w:contextualSpacing/>
        <w:jc w:val="both"/>
        <w:rPr>
          <w:rFonts w:ascii="Segoe UI" w:hAnsi="Segoe UI" w:cs="Segoe UI"/>
          <w:b/>
          <w:u w:val="single"/>
        </w:rPr>
      </w:pPr>
      <w:r w:rsidRPr="00617BF8">
        <w:rPr>
          <w:rFonts w:ascii="Segoe UI" w:hAnsi="Segoe UI" w:cs="Segoe UI"/>
          <w:b/>
          <w:u w:val="single"/>
        </w:rPr>
        <w:t>Bonuses</w:t>
      </w:r>
    </w:p>
    <w:p w:rsidR="00136D31" w:rsidRDefault="00136D31" w:rsidP="007D2BAE">
      <w:pPr>
        <w:spacing w:after="0" w:line="240" w:lineRule="auto"/>
        <w:contextualSpacing/>
        <w:jc w:val="both"/>
        <w:rPr>
          <w:rFonts w:ascii="Segoe UI" w:hAnsi="Segoe UI" w:cs="Segoe UI"/>
        </w:rPr>
      </w:pPr>
    </w:p>
    <w:p w:rsidR="004A4767" w:rsidRDefault="001C26D8" w:rsidP="007D2BAE">
      <w:pPr>
        <w:spacing w:after="0" w:line="240" w:lineRule="auto"/>
        <w:contextualSpacing/>
        <w:jc w:val="both"/>
        <w:rPr>
          <w:rFonts w:ascii="Segoe UI" w:hAnsi="Segoe UI" w:cs="Segoe UI"/>
        </w:rPr>
      </w:pPr>
      <w:r>
        <w:rPr>
          <w:rFonts w:ascii="Segoe UI" w:hAnsi="Segoe UI" w:cs="Segoe UI"/>
        </w:rPr>
        <w:t>Employees</w:t>
      </w:r>
      <w:r w:rsidR="00F60AC1">
        <w:rPr>
          <w:rFonts w:ascii="Segoe UI" w:hAnsi="Segoe UI" w:cs="Segoe UI"/>
        </w:rPr>
        <w:t xml:space="preserve"> at our Support Centre can be eligible for one off project-based bonuses. In the year ending 5 April 2017, most colleagues in the Support Centre did not receive a bonus. However, a small number of colleagues in a single team received a one-off bonus related to a project </w:t>
      </w:r>
      <w:r w:rsidR="00F60AC1">
        <w:rPr>
          <w:rFonts w:ascii="Segoe UI" w:hAnsi="Segoe UI" w:cs="Segoe UI"/>
        </w:rPr>
        <w:lastRenderedPageBreak/>
        <w:t xml:space="preserve">completed within that year, </w:t>
      </w:r>
      <w:r w:rsidR="007A624E">
        <w:rPr>
          <w:rFonts w:ascii="Segoe UI" w:hAnsi="Segoe UI" w:cs="Segoe UI"/>
        </w:rPr>
        <w:t>pushing up the</w:t>
      </w:r>
      <w:r w:rsidR="001873F8">
        <w:rPr>
          <w:rFonts w:ascii="Segoe UI" w:hAnsi="Segoe UI" w:cs="Segoe UI"/>
        </w:rPr>
        <w:t xml:space="preserve"> overall mean bonus gap </w:t>
      </w:r>
      <w:r w:rsidR="00C75C12">
        <w:rPr>
          <w:rFonts w:ascii="Segoe UI" w:hAnsi="Segoe UI" w:cs="Segoe UI"/>
        </w:rPr>
        <w:t xml:space="preserve">to </w:t>
      </w:r>
      <w:r w:rsidR="001873F8">
        <w:rPr>
          <w:rFonts w:ascii="Segoe UI" w:hAnsi="Segoe UI" w:cs="Segoe UI"/>
        </w:rPr>
        <w:t>90.5</w:t>
      </w:r>
      <w:r w:rsidR="00F60AC1">
        <w:rPr>
          <w:rFonts w:ascii="Segoe UI" w:hAnsi="Segoe UI" w:cs="Segoe UI"/>
        </w:rPr>
        <w:t>%.</w:t>
      </w:r>
      <w:r w:rsidR="009F18FD">
        <w:rPr>
          <w:rFonts w:ascii="Segoe UI" w:hAnsi="Segoe UI" w:cs="Segoe UI"/>
        </w:rPr>
        <w:t xml:space="preserve"> The media</w:t>
      </w:r>
      <w:r>
        <w:rPr>
          <w:rFonts w:ascii="Segoe UI" w:hAnsi="Segoe UI" w:cs="Segoe UI"/>
        </w:rPr>
        <w:t>n</w:t>
      </w:r>
      <w:r w:rsidR="009F18FD">
        <w:rPr>
          <w:rFonts w:ascii="Segoe UI" w:hAnsi="Segoe UI" w:cs="Segoe UI"/>
        </w:rPr>
        <w:t xml:space="preserve"> bonus</w:t>
      </w:r>
      <w:r w:rsidR="007A624E">
        <w:rPr>
          <w:rFonts w:ascii="Segoe UI" w:hAnsi="Segoe UI" w:cs="Segoe UI"/>
        </w:rPr>
        <w:t xml:space="preserve"> gender pay gap</w:t>
      </w:r>
      <w:r w:rsidR="009F18FD">
        <w:rPr>
          <w:rFonts w:ascii="Segoe UI" w:hAnsi="Segoe UI" w:cs="Segoe UI"/>
        </w:rPr>
        <w:t xml:space="preserve"> shows that, </w:t>
      </w:r>
      <w:r w:rsidR="009F18FD" w:rsidRPr="009F18FD">
        <w:rPr>
          <w:rFonts w:ascii="Segoe UI" w:hAnsi="Segoe UI" w:cs="Segoe UI"/>
          <w:b/>
          <w:color w:val="BA4E97" w:themeColor="accent2"/>
        </w:rPr>
        <w:t>for all employees, women on average received a bonus which was 20% higher than men</w:t>
      </w:r>
      <w:r w:rsidR="000842F6">
        <w:rPr>
          <w:rFonts w:ascii="Segoe UI" w:hAnsi="Segoe UI" w:cs="Segoe UI"/>
        </w:rPr>
        <w:t xml:space="preserve"> and </w:t>
      </w:r>
      <w:r w:rsidR="000842F6" w:rsidRPr="000842F6">
        <w:rPr>
          <w:rFonts w:ascii="Segoe UI" w:hAnsi="Segoe UI" w:cs="Segoe UI"/>
          <w:b/>
          <w:color w:val="BA4E97" w:themeColor="accent2"/>
        </w:rPr>
        <w:t>16.5% of women received a bonus, v</w:t>
      </w:r>
      <w:r w:rsidR="001873F8">
        <w:rPr>
          <w:rFonts w:ascii="Segoe UI" w:hAnsi="Segoe UI" w:cs="Segoe UI"/>
          <w:b/>
          <w:color w:val="BA4E97" w:themeColor="accent2"/>
        </w:rPr>
        <w:t>ersus 13</w:t>
      </w:r>
      <w:r w:rsidR="000842F6" w:rsidRPr="000842F6">
        <w:rPr>
          <w:rFonts w:ascii="Segoe UI" w:hAnsi="Segoe UI" w:cs="Segoe UI"/>
          <w:b/>
          <w:color w:val="BA4E97" w:themeColor="accent2"/>
        </w:rPr>
        <w:t>% of men.</w:t>
      </w:r>
    </w:p>
    <w:p w:rsidR="000842F6" w:rsidRDefault="000842F6" w:rsidP="007D2BAE">
      <w:pPr>
        <w:spacing w:after="0" w:line="240" w:lineRule="auto"/>
        <w:contextualSpacing/>
        <w:jc w:val="both"/>
        <w:rPr>
          <w:rFonts w:ascii="Segoe UI" w:hAnsi="Segoe UI" w:cs="Segoe UI"/>
        </w:rPr>
      </w:pPr>
    </w:p>
    <w:p w:rsidR="009F18FD" w:rsidRDefault="009F18FD" w:rsidP="007D2BAE">
      <w:pPr>
        <w:spacing w:after="0" w:line="240" w:lineRule="auto"/>
        <w:contextualSpacing/>
        <w:jc w:val="both"/>
        <w:rPr>
          <w:rFonts w:ascii="Segoe UI" w:hAnsi="Segoe UI" w:cs="Segoe UI"/>
        </w:rPr>
      </w:pPr>
      <w:r>
        <w:rPr>
          <w:rFonts w:ascii="Segoe UI" w:hAnsi="Segoe UI" w:cs="Segoe UI"/>
        </w:rPr>
        <w:t>For employees within our local practices, our mean bonus gender pay gap is -49%</w:t>
      </w:r>
      <w:r w:rsidR="001C26D8">
        <w:rPr>
          <w:rFonts w:ascii="Segoe UI" w:hAnsi="Segoe UI" w:cs="Segoe UI"/>
        </w:rPr>
        <w:t>,</w:t>
      </w:r>
      <w:r>
        <w:rPr>
          <w:rFonts w:ascii="Segoe UI" w:hAnsi="Segoe UI" w:cs="Segoe UI"/>
        </w:rPr>
        <w:t xml:space="preserve"> meaning </w:t>
      </w:r>
      <w:r w:rsidRPr="009F18FD">
        <w:rPr>
          <w:rFonts w:ascii="Segoe UI" w:hAnsi="Segoe UI" w:cs="Segoe UI"/>
          <w:b/>
          <w:color w:val="BA4E97" w:themeColor="accent2"/>
        </w:rPr>
        <w:t>women on average received a bonus which was 49% higher than men</w:t>
      </w:r>
      <w:r>
        <w:rPr>
          <w:rFonts w:ascii="Segoe UI" w:hAnsi="Segoe UI" w:cs="Segoe UI"/>
        </w:rPr>
        <w:t>.</w:t>
      </w:r>
    </w:p>
    <w:p w:rsidR="00F60AC1" w:rsidRDefault="00F60AC1" w:rsidP="007D2BAE">
      <w:pPr>
        <w:spacing w:after="0" w:line="240" w:lineRule="auto"/>
        <w:contextualSpacing/>
        <w:jc w:val="both"/>
        <w:rPr>
          <w:rFonts w:ascii="Segoe UI" w:hAnsi="Segoe UI" w:cs="Segoe UI"/>
        </w:rPr>
      </w:pPr>
    </w:p>
    <w:tbl>
      <w:tblPr>
        <w:tblStyle w:val="TableGrid"/>
        <w:tblW w:w="0" w:type="auto"/>
        <w:tblLook w:val="04A0" w:firstRow="1" w:lastRow="0" w:firstColumn="1" w:lastColumn="0" w:noHBand="0" w:noVBand="1"/>
      </w:tblPr>
      <w:tblGrid>
        <w:gridCol w:w="4508"/>
        <w:gridCol w:w="4508"/>
      </w:tblGrid>
      <w:tr w:rsidR="00617BF8" w:rsidTr="00F64262">
        <w:tc>
          <w:tcPr>
            <w:tcW w:w="4508" w:type="dxa"/>
          </w:tcPr>
          <w:p w:rsidR="00617BF8" w:rsidRPr="00136D31" w:rsidRDefault="00617BF8" w:rsidP="00F64262">
            <w:pPr>
              <w:contextualSpacing/>
              <w:jc w:val="center"/>
              <w:rPr>
                <w:rFonts w:ascii="Segoe UI" w:hAnsi="Segoe UI" w:cs="Segoe UI"/>
                <w:b/>
              </w:rPr>
            </w:pPr>
            <w:r w:rsidRPr="00136D31">
              <w:rPr>
                <w:rFonts w:ascii="Segoe UI" w:hAnsi="Segoe UI" w:cs="Segoe UI"/>
                <w:b/>
              </w:rPr>
              <w:t xml:space="preserve">Practice </w:t>
            </w:r>
            <w:r w:rsidR="009F18FD">
              <w:rPr>
                <w:rFonts w:ascii="Segoe UI" w:hAnsi="Segoe UI" w:cs="Segoe UI"/>
                <w:b/>
              </w:rPr>
              <w:t>employees</w:t>
            </w:r>
            <w:r w:rsidRPr="00136D31">
              <w:rPr>
                <w:rFonts w:ascii="Segoe UI" w:hAnsi="Segoe UI" w:cs="Segoe UI"/>
                <w:b/>
              </w:rPr>
              <w:t xml:space="preserve"> </w:t>
            </w:r>
          </w:p>
        </w:tc>
        <w:tc>
          <w:tcPr>
            <w:tcW w:w="4508" w:type="dxa"/>
          </w:tcPr>
          <w:p w:rsidR="00617BF8" w:rsidRPr="00136D31" w:rsidRDefault="009F18FD" w:rsidP="00F64262">
            <w:pPr>
              <w:contextualSpacing/>
              <w:jc w:val="center"/>
              <w:rPr>
                <w:rFonts w:ascii="Segoe UI" w:hAnsi="Segoe UI" w:cs="Segoe UI"/>
                <w:b/>
              </w:rPr>
            </w:pPr>
            <w:r>
              <w:rPr>
                <w:rFonts w:ascii="Segoe UI" w:hAnsi="Segoe UI" w:cs="Segoe UI"/>
                <w:b/>
              </w:rPr>
              <w:t>All employees</w:t>
            </w:r>
            <w:r w:rsidR="00617BF8" w:rsidRPr="00136D31">
              <w:rPr>
                <w:rFonts w:ascii="Segoe UI" w:hAnsi="Segoe UI" w:cs="Segoe UI"/>
                <w:b/>
              </w:rPr>
              <w:t xml:space="preserve"> </w:t>
            </w:r>
          </w:p>
        </w:tc>
      </w:tr>
      <w:tr w:rsidR="00617BF8" w:rsidTr="00F64262">
        <w:tc>
          <w:tcPr>
            <w:tcW w:w="4508" w:type="dxa"/>
          </w:tcPr>
          <w:p w:rsidR="00617BF8" w:rsidRDefault="00617BF8" w:rsidP="00F64262">
            <w:pPr>
              <w:contextualSpacing/>
              <w:jc w:val="both"/>
              <w:rPr>
                <w:rFonts w:ascii="Segoe UI" w:hAnsi="Segoe UI" w:cs="Segoe UI"/>
              </w:rPr>
            </w:pPr>
            <w:r>
              <w:rPr>
                <w:rFonts w:ascii="Segoe UI" w:hAnsi="Segoe UI" w:cs="Segoe UI"/>
              </w:rPr>
              <w:t xml:space="preserve">The mean </w:t>
            </w:r>
            <w:r w:rsidR="009F18FD">
              <w:rPr>
                <w:rFonts w:ascii="Segoe UI" w:hAnsi="Segoe UI" w:cs="Segoe UI"/>
              </w:rPr>
              <w:t xml:space="preserve">bonus gender pay gap </w:t>
            </w:r>
            <w:r>
              <w:rPr>
                <w:rFonts w:ascii="Segoe UI" w:hAnsi="Segoe UI" w:cs="Segoe UI"/>
              </w:rPr>
              <w:t xml:space="preserve">for practice staff is </w:t>
            </w:r>
            <w:r w:rsidR="009F18FD">
              <w:rPr>
                <w:rFonts w:ascii="Segoe UI" w:hAnsi="Segoe UI" w:cs="Segoe UI"/>
              </w:rPr>
              <w:t>-49</w:t>
            </w:r>
            <w:r>
              <w:rPr>
                <w:rFonts w:ascii="Segoe UI" w:hAnsi="Segoe UI" w:cs="Segoe UI"/>
              </w:rPr>
              <w:t>%</w:t>
            </w:r>
          </w:p>
        </w:tc>
        <w:tc>
          <w:tcPr>
            <w:tcW w:w="4508" w:type="dxa"/>
          </w:tcPr>
          <w:p w:rsidR="00617BF8" w:rsidRDefault="009F18FD" w:rsidP="001873F8">
            <w:pPr>
              <w:contextualSpacing/>
              <w:jc w:val="both"/>
              <w:rPr>
                <w:rFonts w:ascii="Segoe UI" w:hAnsi="Segoe UI" w:cs="Segoe UI"/>
              </w:rPr>
            </w:pPr>
            <w:r>
              <w:rPr>
                <w:rFonts w:ascii="Segoe UI" w:hAnsi="Segoe UI" w:cs="Segoe UI"/>
              </w:rPr>
              <w:t>The mean bonus</w:t>
            </w:r>
            <w:r w:rsidR="00617BF8">
              <w:rPr>
                <w:rFonts w:ascii="Segoe UI" w:hAnsi="Segoe UI" w:cs="Segoe UI"/>
              </w:rPr>
              <w:t xml:space="preserve"> </w:t>
            </w:r>
            <w:r>
              <w:rPr>
                <w:rFonts w:ascii="Segoe UI" w:hAnsi="Segoe UI" w:cs="Segoe UI"/>
              </w:rPr>
              <w:t xml:space="preserve">gender pay </w:t>
            </w:r>
            <w:r w:rsidR="00617BF8">
              <w:rPr>
                <w:rFonts w:ascii="Segoe UI" w:hAnsi="Segoe UI" w:cs="Segoe UI"/>
              </w:rPr>
              <w:t xml:space="preserve">gap for all </w:t>
            </w:r>
            <w:r>
              <w:rPr>
                <w:rFonts w:ascii="Segoe UI" w:hAnsi="Segoe UI" w:cs="Segoe UI"/>
              </w:rPr>
              <w:t>employees</w:t>
            </w:r>
            <w:r w:rsidR="00617BF8">
              <w:rPr>
                <w:rFonts w:ascii="Segoe UI" w:hAnsi="Segoe UI" w:cs="Segoe UI"/>
              </w:rPr>
              <w:t xml:space="preserve"> is </w:t>
            </w:r>
            <w:r>
              <w:rPr>
                <w:rFonts w:ascii="Segoe UI" w:hAnsi="Segoe UI" w:cs="Segoe UI"/>
              </w:rPr>
              <w:t>90.</w:t>
            </w:r>
            <w:r w:rsidR="001873F8">
              <w:rPr>
                <w:rFonts w:ascii="Segoe UI" w:hAnsi="Segoe UI" w:cs="Segoe UI"/>
              </w:rPr>
              <w:t>5</w:t>
            </w:r>
            <w:r w:rsidR="00617BF8">
              <w:rPr>
                <w:rFonts w:ascii="Segoe UI" w:hAnsi="Segoe UI" w:cs="Segoe UI"/>
              </w:rPr>
              <w:t>%</w:t>
            </w:r>
          </w:p>
        </w:tc>
      </w:tr>
      <w:tr w:rsidR="009F18FD" w:rsidTr="00F64262">
        <w:tc>
          <w:tcPr>
            <w:tcW w:w="4508" w:type="dxa"/>
          </w:tcPr>
          <w:p w:rsidR="009F18FD" w:rsidRDefault="009F18FD" w:rsidP="009F18FD">
            <w:pPr>
              <w:contextualSpacing/>
              <w:jc w:val="both"/>
              <w:rPr>
                <w:rFonts w:ascii="Segoe UI" w:hAnsi="Segoe UI" w:cs="Segoe UI"/>
              </w:rPr>
            </w:pPr>
            <w:r>
              <w:rPr>
                <w:rFonts w:ascii="Segoe UI" w:hAnsi="Segoe UI" w:cs="Segoe UI"/>
              </w:rPr>
              <w:t>The media bonus gender pay gap for practice staff is -20%</w:t>
            </w:r>
          </w:p>
        </w:tc>
        <w:tc>
          <w:tcPr>
            <w:tcW w:w="4508" w:type="dxa"/>
          </w:tcPr>
          <w:p w:rsidR="009F18FD" w:rsidRDefault="009F18FD" w:rsidP="009F18FD">
            <w:pPr>
              <w:contextualSpacing/>
              <w:jc w:val="both"/>
              <w:rPr>
                <w:rFonts w:ascii="Segoe UI" w:hAnsi="Segoe UI" w:cs="Segoe UI"/>
              </w:rPr>
            </w:pPr>
            <w:r>
              <w:rPr>
                <w:rFonts w:ascii="Segoe UI" w:hAnsi="Segoe UI" w:cs="Segoe UI"/>
              </w:rPr>
              <w:t>The media</w:t>
            </w:r>
            <w:r w:rsidR="004A4767">
              <w:rPr>
                <w:rFonts w:ascii="Segoe UI" w:hAnsi="Segoe UI" w:cs="Segoe UI"/>
              </w:rPr>
              <w:t>n</w:t>
            </w:r>
            <w:r>
              <w:rPr>
                <w:rFonts w:ascii="Segoe UI" w:hAnsi="Segoe UI" w:cs="Segoe UI"/>
              </w:rPr>
              <w:t xml:space="preserve"> bonus gender pay gap for all employees is -20%</w:t>
            </w:r>
          </w:p>
        </w:tc>
      </w:tr>
    </w:tbl>
    <w:p w:rsidR="00617BF8" w:rsidRDefault="00617BF8" w:rsidP="007D2BAE">
      <w:pPr>
        <w:spacing w:after="0" w:line="240" w:lineRule="auto"/>
        <w:contextualSpacing/>
        <w:jc w:val="both"/>
        <w:rPr>
          <w:rFonts w:ascii="Segoe UI" w:hAnsi="Segoe UI" w:cs="Segoe UI"/>
        </w:rPr>
      </w:pPr>
    </w:p>
    <w:p w:rsidR="00704AAB" w:rsidRPr="00136D31" w:rsidRDefault="00704AAB" w:rsidP="007D2BAE">
      <w:pPr>
        <w:spacing w:after="0" w:line="240" w:lineRule="auto"/>
        <w:contextualSpacing/>
        <w:jc w:val="both"/>
        <w:rPr>
          <w:rFonts w:ascii="Segoe UI" w:hAnsi="Segoe UI" w:cs="Segoe UI"/>
          <w:b/>
          <w:u w:val="single"/>
        </w:rPr>
      </w:pPr>
      <w:r w:rsidRPr="00136D31">
        <w:rPr>
          <w:rFonts w:ascii="Segoe UI" w:hAnsi="Segoe UI" w:cs="Segoe UI"/>
          <w:b/>
          <w:u w:val="single"/>
        </w:rPr>
        <w:t>Proportion of men</w:t>
      </w:r>
      <w:r w:rsidR="004A4767">
        <w:rPr>
          <w:rFonts w:ascii="Segoe UI" w:hAnsi="Segoe UI" w:cs="Segoe UI"/>
          <w:b/>
          <w:u w:val="single"/>
        </w:rPr>
        <w:t xml:space="preserve"> and women in each pay quartile</w:t>
      </w:r>
    </w:p>
    <w:p w:rsidR="00704AAB" w:rsidRDefault="00704AAB" w:rsidP="007D2BAE">
      <w:pPr>
        <w:spacing w:after="0" w:line="240" w:lineRule="auto"/>
        <w:contextualSpacing/>
        <w:jc w:val="both"/>
        <w:rPr>
          <w:rFonts w:ascii="Segoe UI" w:hAnsi="Segoe UI" w:cs="Segoe UI"/>
        </w:rPr>
      </w:pPr>
    </w:p>
    <w:p w:rsidR="009F18FD" w:rsidRDefault="009F18FD" w:rsidP="007D2BAE">
      <w:pPr>
        <w:spacing w:after="0" w:line="240" w:lineRule="auto"/>
        <w:contextualSpacing/>
        <w:jc w:val="both"/>
        <w:rPr>
          <w:rFonts w:ascii="Segoe UI" w:hAnsi="Segoe UI" w:cs="Segoe UI"/>
        </w:rPr>
      </w:pPr>
      <w:r>
        <w:rPr>
          <w:rFonts w:ascii="Segoe UI" w:hAnsi="Segoe UI" w:cs="Segoe UI"/>
        </w:rPr>
        <w:t>Women are the largest group of employees in all quartiles of pay, and 98% of people in our second highest earning quartile are women.</w:t>
      </w:r>
    </w:p>
    <w:p w:rsidR="009F18FD" w:rsidRDefault="009F18FD" w:rsidP="007D2BAE">
      <w:pPr>
        <w:spacing w:after="0" w:line="240" w:lineRule="auto"/>
        <w:contextualSpacing/>
        <w:jc w:val="both"/>
        <w:rPr>
          <w:rFonts w:ascii="Segoe UI" w:hAnsi="Segoe UI" w:cs="Segoe UI"/>
        </w:rPr>
      </w:pPr>
    </w:p>
    <w:p w:rsidR="00136D31" w:rsidRDefault="009F18FD" w:rsidP="007D2BAE">
      <w:pPr>
        <w:spacing w:after="0" w:line="240" w:lineRule="auto"/>
        <w:contextualSpacing/>
        <w:jc w:val="both"/>
        <w:rPr>
          <w:rFonts w:ascii="Segoe UI" w:hAnsi="Segoe UI" w:cs="Segoe UI"/>
        </w:rPr>
      </w:pPr>
      <w:r>
        <w:rPr>
          <w:rFonts w:ascii="Segoe UI" w:hAnsi="Segoe UI" w:cs="Segoe UI"/>
        </w:rPr>
        <w:t xml:space="preserve">As a result of </w:t>
      </w:r>
      <w:proofErr w:type="spellStart"/>
      <w:r w:rsidR="001C26D8">
        <w:rPr>
          <w:rFonts w:ascii="Segoe UI" w:hAnsi="Segoe UI" w:cs="Segoe UI"/>
        </w:rPr>
        <w:t>mydentist’s</w:t>
      </w:r>
      <w:proofErr w:type="spellEnd"/>
      <w:r>
        <w:rPr>
          <w:rFonts w:ascii="Segoe UI" w:hAnsi="Segoe UI" w:cs="Segoe UI"/>
        </w:rPr>
        <w:t xml:space="preserve"> structure, and the fact that women are more likely</w:t>
      </w:r>
      <w:r w:rsidR="00CC5779">
        <w:rPr>
          <w:rFonts w:ascii="Segoe UI" w:hAnsi="Segoe UI" w:cs="Segoe UI"/>
        </w:rPr>
        <w:t xml:space="preserve"> to work at our local practices</w:t>
      </w:r>
      <w:r>
        <w:rPr>
          <w:rFonts w:ascii="Segoe UI" w:hAnsi="Segoe UI" w:cs="Segoe UI"/>
        </w:rPr>
        <w:t xml:space="preserve"> which typically attract lower hourly rates, women have a lower representation in the highest earning quartile than in other quartiles. </w:t>
      </w:r>
    </w:p>
    <w:p w:rsidR="00704AAB" w:rsidRDefault="00704AAB" w:rsidP="007D2BAE">
      <w:pPr>
        <w:spacing w:after="0" w:line="240" w:lineRule="auto"/>
        <w:contextualSpacing/>
        <w:jc w:val="both"/>
        <w:rPr>
          <w:rFonts w:ascii="Segoe UI" w:hAnsi="Segoe UI" w:cs="Segoe UI"/>
        </w:rPr>
      </w:pPr>
    </w:p>
    <w:tbl>
      <w:tblPr>
        <w:tblW w:w="9045" w:type="dxa"/>
        <w:tblCellMar>
          <w:left w:w="0" w:type="dxa"/>
          <w:right w:w="0" w:type="dxa"/>
        </w:tblCellMar>
        <w:tblLook w:val="0600" w:firstRow="0" w:lastRow="0" w:firstColumn="0" w:lastColumn="0" w:noHBand="1" w:noVBand="1"/>
      </w:tblPr>
      <w:tblGrid>
        <w:gridCol w:w="1369"/>
        <w:gridCol w:w="1919"/>
        <w:gridCol w:w="1919"/>
        <w:gridCol w:w="1919"/>
        <w:gridCol w:w="1919"/>
      </w:tblGrid>
      <w:tr w:rsidR="00704AAB" w:rsidRPr="00704AAB" w:rsidTr="00704AAB">
        <w:trPr>
          <w:trHeight w:val="347"/>
        </w:trPr>
        <w:tc>
          <w:tcPr>
            <w:tcW w:w="1369" w:type="dxa"/>
            <w:tcBorders>
              <w:top w:val="nil"/>
              <w:left w:val="nil"/>
              <w:bottom w:val="nil"/>
              <w:right w:val="single" w:sz="4" w:space="0" w:color="869492"/>
            </w:tcBorders>
            <w:shd w:val="clear" w:color="auto" w:fill="auto"/>
            <w:tcMar>
              <w:top w:w="15" w:type="dxa"/>
              <w:left w:w="18" w:type="dxa"/>
              <w:bottom w:w="0" w:type="dxa"/>
              <w:right w:w="18" w:type="dxa"/>
            </w:tcMar>
            <w:vAlign w:val="bottom"/>
            <w:hideMark/>
          </w:tcPr>
          <w:p w:rsidR="00704AAB" w:rsidRPr="00704AAB" w:rsidRDefault="00704AAB" w:rsidP="00704AAB">
            <w:pPr>
              <w:spacing w:after="0" w:line="240" w:lineRule="auto"/>
              <w:contextualSpacing/>
              <w:rPr>
                <w:rFonts w:ascii="Segoe UI" w:hAnsi="Segoe UI" w:cs="Segoe UI"/>
              </w:rPr>
            </w:pPr>
          </w:p>
        </w:tc>
        <w:tc>
          <w:tcPr>
            <w:tcW w:w="1919" w:type="dxa"/>
            <w:tcBorders>
              <w:top w:val="single" w:sz="4" w:space="0" w:color="869492"/>
              <w:left w:val="single" w:sz="4" w:space="0" w:color="869492"/>
              <w:bottom w:val="single" w:sz="4" w:space="0" w:color="869492"/>
              <w:right w:val="single" w:sz="4" w:space="0" w:color="869492"/>
            </w:tcBorders>
            <w:shd w:val="clear" w:color="auto" w:fill="auto"/>
            <w:tcMar>
              <w:top w:w="15" w:type="dxa"/>
              <w:left w:w="18" w:type="dxa"/>
              <w:bottom w:w="0" w:type="dxa"/>
              <w:right w:w="18" w:type="dxa"/>
            </w:tcMar>
            <w:vAlign w:val="center"/>
            <w:hideMark/>
          </w:tcPr>
          <w:p w:rsidR="00704AAB" w:rsidRPr="00704AAB" w:rsidRDefault="00704AAB" w:rsidP="00704AAB">
            <w:pPr>
              <w:spacing w:after="0" w:line="240" w:lineRule="auto"/>
              <w:contextualSpacing/>
              <w:rPr>
                <w:rFonts w:ascii="Segoe UI" w:hAnsi="Segoe UI" w:cs="Segoe UI"/>
              </w:rPr>
            </w:pPr>
            <w:r w:rsidRPr="00704AAB">
              <w:rPr>
                <w:rFonts w:ascii="Segoe UI" w:hAnsi="Segoe UI" w:cs="Segoe UI"/>
                <w:b/>
                <w:bCs/>
              </w:rPr>
              <w:t>Lower quartile</w:t>
            </w:r>
          </w:p>
        </w:tc>
        <w:tc>
          <w:tcPr>
            <w:tcW w:w="1919" w:type="dxa"/>
            <w:tcBorders>
              <w:top w:val="single" w:sz="4" w:space="0" w:color="869492"/>
              <w:left w:val="single" w:sz="4" w:space="0" w:color="869492"/>
              <w:bottom w:val="single" w:sz="4" w:space="0" w:color="869492"/>
              <w:right w:val="single" w:sz="4" w:space="0" w:color="869492"/>
            </w:tcBorders>
            <w:shd w:val="clear" w:color="auto" w:fill="auto"/>
            <w:tcMar>
              <w:top w:w="15" w:type="dxa"/>
              <w:left w:w="18" w:type="dxa"/>
              <w:bottom w:w="0" w:type="dxa"/>
              <w:right w:w="18" w:type="dxa"/>
            </w:tcMar>
            <w:vAlign w:val="center"/>
            <w:hideMark/>
          </w:tcPr>
          <w:p w:rsidR="00704AAB" w:rsidRPr="00704AAB" w:rsidRDefault="00704AAB" w:rsidP="00704AAB">
            <w:pPr>
              <w:spacing w:after="0" w:line="240" w:lineRule="auto"/>
              <w:contextualSpacing/>
              <w:rPr>
                <w:rFonts w:ascii="Segoe UI" w:hAnsi="Segoe UI" w:cs="Segoe UI"/>
              </w:rPr>
            </w:pPr>
            <w:r w:rsidRPr="00704AAB">
              <w:rPr>
                <w:rFonts w:ascii="Segoe UI" w:hAnsi="Segoe UI" w:cs="Segoe UI"/>
                <w:b/>
                <w:bCs/>
              </w:rPr>
              <w:t>Lower middle quartile</w:t>
            </w:r>
          </w:p>
        </w:tc>
        <w:tc>
          <w:tcPr>
            <w:tcW w:w="1919" w:type="dxa"/>
            <w:tcBorders>
              <w:top w:val="single" w:sz="4" w:space="0" w:color="869492"/>
              <w:left w:val="single" w:sz="4" w:space="0" w:color="869492"/>
              <w:bottom w:val="single" w:sz="4" w:space="0" w:color="869492"/>
              <w:right w:val="single" w:sz="4" w:space="0" w:color="869492"/>
            </w:tcBorders>
            <w:shd w:val="clear" w:color="auto" w:fill="auto"/>
            <w:tcMar>
              <w:top w:w="15" w:type="dxa"/>
              <w:left w:w="18" w:type="dxa"/>
              <w:bottom w:w="0" w:type="dxa"/>
              <w:right w:w="18" w:type="dxa"/>
            </w:tcMar>
            <w:vAlign w:val="center"/>
            <w:hideMark/>
          </w:tcPr>
          <w:p w:rsidR="00704AAB" w:rsidRPr="00704AAB" w:rsidRDefault="00704AAB" w:rsidP="00704AAB">
            <w:pPr>
              <w:spacing w:after="0" w:line="240" w:lineRule="auto"/>
              <w:contextualSpacing/>
              <w:rPr>
                <w:rFonts w:ascii="Segoe UI" w:hAnsi="Segoe UI" w:cs="Segoe UI"/>
              </w:rPr>
            </w:pPr>
            <w:r w:rsidRPr="00704AAB">
              <w:rPr>
                <w:rFonts w:ascii="Segoe UI" w:hAnsi="Segoe UI" w:cs="Segoe UI"/>
                <w:b/>
                <w:bCs/>
              </w:rPr>
              <w:t>Upper middle quartile</w:t>
            </w:r>
          </w:p>
        </w:tc>
        <w:tc>
          <w:tcPr>
            <w:tcW w:w="1919" w:type="dxa"/>
            <w:tcBorders>
              <w:top w:val="single" w:sz="4" w:space="0" w:color="869492"/>
              <w:left w:val="single" w:sz="4" w:space="0" w:color="869492"/>
              <w:bottom w:val="single" w:sz="4" w:space="0" w:color="869492"/>
              <w:right w:val="single" w:sz="4" w:space="0" w:color="869492"/>
            </w:tcBorders>
            <w:shd w:val="clear" w:color="auto" w:fill="auto"/>
            <w:tcMar>
              <w:top w:w="15" w:type="dxa"/>
              <w:left w:w="18" w:type="dxa"/>
              <w:bottom w:w="0" w:type="dxa"/>
              <w:right w:w="18" w:type="dxa"/>
            </w:tcMar>
            <w:vAlign w:val="center"/>
            <w:hideMark/>
          </w:tcPr>
          <w:p w:rsidR="00704AAB" w:rsidRPr="00704AAB" w:rsidRDefault="00704AAB" w:rsidP="00704AAB">
            <w:pPr>
              <w:spacing w:after="0" w:line="240" w:lineRule="auto"/>
              <w:contextualSpacing/>
              <w:rPr>
                <w:rFonts w:ascii="Segoe UI" w:hAnsi="Segoe UI" w:cs="Segoe UI"/>
              </w:rPr>
            </w:pPr>
            <w:r w:rsidRPr="00704AAB">
              <w:rPr>
                <w:rFonts w:ascii="Segoe UI" w:hAnsi="Segoe UI" w:cs="Segoe UI"/>
                <w:b/>
                <w:bCs/>
              </w:rPr>
              <w:t>Upper quartile</w:t>
            </w:r>
          </w:p>
        </w:tc>
      </w:tr>
      <w:tr w:rsidR="00704AAB" w:rsidRPr="00704AAB" w:rsidTr="00704AAB">
        <w:trPr>
          <w:trHeight w:val="347"/>
        </w:trPr>
        <w:tc>
          <w:tcPr>
            <w:tcW w:w="1369" w:type="dxa"/>
            <w:tcBorders>
              <w:top w:val="nil"/>
              <w:left w:val="nil"/>
              <w:bottom w:val="single" w:sz="4" w:space="0" w:color="869492"/>
              <w:right w:val="single" w:sz="4" w:space="0" w:color="869492"/>
            </w:tcBorders>
            <w:shd w:val="clear" w:color="auto" w:fill="auto"/>
            <w:tcMar>
              <w:top w:w="15" w:type="dxa"/>
              <w:left w:w="18" w:type="dxa"/>
              <w:bottom w:w="0" w:type="dxa"/>
              <w:right w:w="18" w:type="dxa"/>
            </w:tcMar>
            <w:vAlign w:val="bottom"/>
            <w:hideMark/>
          </w:tcPr>
          <w:p w:rsidR="00704AAB" w:rsidRPr="00704AAB" w:rsidRDefault="00704AAB" w:rsidP="00704AAB">
            <w:pPr>
              <w:spacing w:after="0" w:line="240" w:lineRule="auto"/>
              <w:contextualSpacing/>
              <w:rPr>
                <w:rFonts w:ascii="Segoe UI" w:hAnsi="Segoe UI" w:cs="Segoe UI"/>
              </w:rPr>
            </w:pPr>
          </w:p>
        </w:tc>
        <w:tc>
          <w:tcPr>
            <w:tcW w:w="1919" w:type="dxa"/>
            <w:tcBorders>
              <w:top w:val="single" w:sz="4" w:space="0" w:color="869492"/>
              <w:left w:val="single" w:sz="4" w:space="0" w:color="869492"/>
              <w:bottom w:val="single" w:sz="4" w:space="0" w:color="869492"/>
              <w:right w:val="single" w:sz="4" w:space="0" w:color="869492"/>
            </w:tcBorders>
            <w:shd w:val="clear" w:color="auto" w:fill="auto"/>
            <w:tcMar>
              <w:top w:w="15" w:type="dxa"/>
              <w:left w:w="18" w:type="dxa"/>
              <w:bottom w:w="0" w:type="dxa"/>
              <w:right w:w="18" w:type="dxa"/>
            </w:tcMar>
            <w:vAlign w:val="bottom"/>
            <w:hideMark/>
          </w:tcPr>
          <w:p w:rsidR="00704AAB" w:rsidRPr="00704AAB" w:rsidRDefault="00704AAB" w:rsidP="00704AAB">
            <w:pPr>
              <w:spacing w:after="0" w:line="240" w:lineRule="auto"/>
              <w:contextualSpacing/>
              <w:rPr>
                <w:rFonts w:ascii="Segoe UI" w:hAnsi="Segoe UI" w:cs="Segoe UI"/>
              </w:rPr>
            </w:pPr>
            <w:r w:rsidRPr="00704AAB">
              <w:rPr>
                <w:rFonts w:ascii="Segoe UI" w:hAnsi="Segoe UI" w:cs="Segoe UI"/>
                <w:b/>
                <w:bCs/>
              </w:rPr>
              <w:t>Quartile 1</w:t>
            </w:r>
          </w:p>
        </w:tc>
        <w:tc>
          <w:tcPr>
            <w:tcW w:w="1919" w:type="dxa"/>
            <w:tcBorders>
              <w:top w:val="single" w:sz="4" w:space="0" w:color="869492"/>
              <w:left w:val="single" w:sz="4" w:space="0" w:color="869492"/>
              <w:bottom w:val="single" w:sz="4" w:space="0" w:color="869492"/>
              <w:right w:val="single" w:sz="4" w:space="0" w:color="869492"/>
            </w:tcBorders>
            <w:shd w:val="clear" w:color="auto" w:fill="auto"/>
            <w:tcMar>
              <w:top w:w="15" w:type="dxa"/>
              <w:left w:w="18" w:type="dxa"/>
              <w:bottom w:w="0" w:type="dxa"/>
              <w:right w:w="18" w:type="dxa"/>
            </w:tcMar>
            <w:vAlign w:val="bottom"/>
            <w:hideMark/>
          </w:tcPr>
          <w:p w:rsidR="00704AAB" w:rsidRPr="00704AAB" w:rsidRDefault="00704AAB" w:rsidP="00704AAB">
            <w:pPr>
              <w:spacing w:after="0" w:line="240" w:lineRule="auto"/>
              <w:contextualSpacing/>
              <w:rPr>
                <w:rFonts w:ascii="Segoe UI" w:hAnsi="Segoe UI" w:cs="Segoe UI"/>
              </w:rPr>
            </w:pPr>
            <w:r w:rsidRPr="00704AAB">
              <w:rPr>
                <w:rFonts w:ascii="Segoe UI" w:hAnsi="Segoe UI" w:cs="Segoe UI"/>
                <w:b/>
                <w:bCs/>
              </w:rPr>
              <w:t>Quartile 2</w:t>
            </w:r>
          </w:p>
        </w:tc>
        <w:tc>
          <w:tcPr>
            <w:tcW w:w="1919" w:type="dxa"/>
            <w:tcBorders>
              <w:top w:val="single" w:sz="4" w:space="0" w:color="869492"/>
              <w:left w:val="single" w:sz="4" w:space="0" w:color="869492"/>
              <w:bottom w:val="single" w:sz="4" w:space="0" w:color="869492"/>
              <w:right w:val="single" w:sz="4" w:space="0" w:color="869492"/>
            </w:tcBorders>
            <w:shd w:val="clear" w:color="auto" w:fill="auto"/>
            <w:tcMar>
              <w:top w:w="15" w:type="dxa"/>
              <w:left w:w="18" w:type="dxa"/>
              <w:bottom w:w="0" w:type="dxa"/>
              <w:right w:w="18" w:type="dxa"/>
            </w:tcMar>
            <w:vAlign w:val="bottom"/>
            <w:hideMark/>
          </w:tcPr>
          <w:p w:rsidR="00704AAB" w:rsidRPr="00704AAB" w:rsidRDefault="00704AAB" w:rsidP="00704AAB">
            <w:pPr>
              <w:spacing w:after="0" w:line="240" w:lineRule="auto"/>
              <w:contextualSpacing/>
              <w:rPr>
                <w:rFonts w:ascii="Segoe UI" w:hAnsi="Segoe UI" w:cs="Segoe UI"/>
              </w:rPr>
            </w:pPr>
            <w:r w:rsidRPr="00704AAB">
              <w:rPr>
                <w:rFonts w:ascii="Segoe UI" w:hAnsi="Segoe UI" w:cs="Segoe UI"/>
                <w:b/>
                <w:bCs/>
              </w:rPr>
              <w:t>Quartile 3</w:t>
            </w:r>
          </w:p>
        </w:tc>
        <w:tc>
          <w:tcPr>
            <w:tcW w:w="1919" w:type="dxa"/>
            <w:tcBorders>
              <w:top w:val="single" w:sz="4" w:space="0" w:color="869492"/>
              <w:left w:val="single" w:sz="4" w:space="0" w:color="869492"/>
              <w:bottom w:val="single" w:sz="4" w:space="0" w:color="869492"/>
              <w:right w:val="single" w:sz="4" w:space="0" w:color="869492"/>
            </w:tcBorders>
            <w:shd w:val="clear" w:color="auto" w:fill="auto"/>
            <w:tcMar>
              <w:top w:w="15" w:type="dxa"/>
              <w:left w:w="18" w:type="dxa"/>
              <w:bottom w:w="0" w:type="dxa"/>
              <w:right w:w="18" w:type="dxa"/>
            </w:tcMar>
            <w:vAlign w:val="bottom"/>
            <w:hideMark/>
          </w:tcPr>
          <w:p w:rsidR="00704AAB" w:rsidRPr="00704AAB" w:rsidRDefault="00704AAB" w:rsidP="00704AAB">
            <w:pPr>
              <w:spacing w:after="0" w:line="240" w:lineRule="auto"/>
              <w:contextualSpacing/>
              <w:rPr>
                <w:rFonts w:ascii="Segoe UI" w:hAnsi="Segoe UI" w:cs="Segoe UI"/>
              </w:rPr>
            </w:pPr>
            <w:r w:rsidRPr="00704AAB">
              <w:rPr>
                <w:rFonts w:ascii="Segoe UI" w:hAnsi="Segoe UI" w:cs="Segoe UI"/>
                <w:b/>
                <w:bCs/>
              </w:rPr>
              <w:t>Quartile 4</w:t>
            </w:r>
          </w:p>
        </w:tc>
      </w:tr>
      <w:tr w:rsidR="001873F8" w:rsidRPr="00704AAB" w:rsidTr="001873F8">
        <w:trPr>
          <w:trHeight w:val="379"/>
        </w:trPr>
        <w:tc>
          <w:tcPr>
            <w:tcW w:w="1369" w:type="dxa"/>
            <w:tcBorders>
              <w:top w:val="single" w:sz="4" w:space="0" w:color="869492"/>
              <w:left w:val="single" w:sz="4" w:space="0" w:color="869492"/>
              <w:bottom w:val="single" w:sz="4" w:space="0" w:color="869492"/>
              <w:right w:val="single" w:sz="4" w:space="0" w:color="869492"/>
            </w:tcBorders>
            <w:shd w:val="clear" w:color="auto" w:fill="auto"/>
            <w:tcMar>
              <w:top w:w="15" w:type="dxa"/>
              <w:left w:w="18" w:type="dxa"/>
              <w:bottom w:w="0" w:type="dxa"/>
              <w:right w:w="18" w:type="dxa"/>
            </w:tcMar>
            <w:hideMark/>
          </w:tcPr>
          <w:p w:rsidR="001873F8" w:rsidRPr="00704AAB" w:rsidRDefault="001873F8" w:rsidP="001873F8">
            <w:pPr>
              <w:spacing w:after="0" w:line="240" w:lineRule="auto"/>
              <w:contextualSpacing/>
              <w:jc w:val="center"/>
              <w:rPr>
                <w:rFonts w:ascii="Segoe UI" w:hAnsi="Segoe UI" w:cs="Segoe UI"/>
              </w:rPr>
            </w:pPr>
            <w:r w:rsidRPr="00704AAB">
              <w:rPr>
                <w:rFonts w:ascii="Segoe UI" w:hAnsi="Segoe UI" w:cs="Segoe UI"/>
                <w:b/>
                <w:bCs/>
              </w:rPr>
              <w:t>% Male</w:t>
            </w:r>
          </w:p>
        </w:tc>
        <w:tc>
          <w:tcPr>
            <w:tcW w:w="1919" w:type="dxa"/>
            <w:tcBorders>
              <w:top w:val="single" w:sz="4" w:space="0" w:color="869492"/>
              <w:left w:val="single" w:sz="4" w:space="0" w:color="869492"/>
              <w:bottom w:val="single" w:sz="4" w:space="0" w:color="869492"/>
              <w:right w:val="single" w:sz="4" w:space="0" w:color="869492"/>
            </w:tcBorders>
            <w:shd w:val="clear" w:color="auto" w:fill="auto"/>
            <w:tcMar>
              <w:top w:w="15" w:type="dxa"/>
              <w:left w:w="18" w:type="dxa"/>
              <w:bottom w:w="0" w:type="dxa"/>
              <w:right w:w="18" w:type="dxa"/>
            </w:tcMar>
            <w:hideMark/>
          </w:tcPr>
          <w:p w:rsidR="001873F8" w:rsidRPr="001873F8" w:rsidRDefault="00DC2A8C" w:rsidP="001873F8">
            <w:pPr>
              <w:jc w:val="center"/>
              <w:rPr>
                <w:rFonts w:ascii="Segoe UI" w:hAnsi="Segoe UI" w:cs="Segoe UI"/>
                <w:bCs/>
              </w:rPr>
            </w:pPr>
            <w:r>
              <w:rPr>
                <w:rFonts w:ascii="Segoe UI" w:hAnsi="Segoe UI" w:cs="Segoe UI"/>
                <w:bCs/>
              </w:rPr>
              <w:t>4.5%</w:t>
            </w:r>
          </w:p>
        </w:tc>
        <w:tc>
          <w:tcPr>
            <w:tcW w:w="1919" w:type="dxa"/>
            <w:tcBorders>
              <w:top w:val="single" w:sz="4" w:space="0" w:color="869492"/>
              <w:left w:val="single" w:sz="4" w:space="0" w:color="869492"/>
              <w:bottom w:val="single" w:sz="4" w:space="0" w:color="869492"/>
              <w:right w:val="single" w:sz="4" w:space="0" w:color="869492"/>
            </w:tcBorders>
            <w:shd w:val="clear" w:color="auto" w:fill="auto"/>
            <w:tcMar>
              <w:top w:w="15" w:type="dxa"/>
              <w:left w:w="18" w:type="dxa"/>
              <w:bottom w:w="0" w:type="dxa"/>
              <w:right w:w="18" w:type="dxa"/>
            </w:tcMar>
            <w:hideMark/>
          </w:tcPr>
          <w:p w:rsidR="001873F8" w:rsidRPr="001873F8" w:rsidRDefault="00DC2A8C" w:rsidP="001873F8">
            <w:pPr>
              <w:jc w:val="center"/>
              <w:rPr>
                <w:rFonts w:ascii="Segoe UI" w:hAnsi="Segoe UI" w:cs="Segoe UI"/>
                <w:bCs/>
              </w:rPr>
            </w:pPr>
            <w:r>
              <w:rPr>
                <w:rFonts w:ascii="Segoe UI" w:hAnsi="Segoe UI" w:cs="Segoe UI"/>
                <w:bCs/>
              </w:rPr>
              <w:t>2.6%</w:t>
            </w:r>
          </w:p>
        </w:tc>
        <w:tc>
          <w:tcPr>
            <w:tcW w:w="1919" w:type="dxa"/>
            <w:tcBorders>
              <w:top w:val="single" w:sz="4" w:space="0" w:color="869492"/>
              <w:left w:val="single" w:sz="4" w:space="0" w:color="869492"/>
              <w:bottom w:val="single" w:sz="4" w:space="0" w:color="869492"/>
              <w:right w:val="single" w:sz="4" w:space="0" w:color="869492"/>
            </w:tcBorders>
            <w:shd w:val="clear" w:color="auto" w:fill="auto"/>
            <w:tcMar>
              <w:top w:w="15" w:type="dxa"/>
              <w:left w:w="18" w:type="dxa"/>
              <w:bottom w:w="0" w:type="dxa"/>
              <w:right w:w="18" w:type="dxa"/>
            </w:tcMar>
            <w:hideMark/>
          </w:tcPr>
          <w:p w:rsidR="001873F8" w:rsidRPr="001873F8" w:rsidRDefault="00DC2A8C" w:rsidP="001873F8">
            <w:pPr>
              <w:jc w:val="center"/>
              <w:rPr>
                <w:rFonts w:ascii="Segoe UI" w:hAnsi="Segoe UI" w:cs="Segoe UI"/>
                <w:bCs/>
              </w:rPr>
            </w:pPr>
            <w:r>
              <w:rPr>
                <w:rFonts w:ascii="Segoe UI" w:hAnsi="Segoe UI" w:cs="Segoe UI"/>
                <w:bCs/>
              </w:rPr>
              <w:t>2.1</w:t>
            </w:r>
            <w:r w:rsidR="001873F8" w:rsidRPr="001873F8">
              <w:rPr>
                <w:rFonts w:ascii="Segoe UI" w:hAnsi="Segoe UI" w:cs="Segoe UI"/>
                <w:bCs/>
              </w:rPr>
              <w:t>%</w:t>
            </w:r>
          </w:p>
        </w:tc>
        <w:tc>
          <w:tcPr>
            <w:tcW w:w="1919" w:type="dxa"/>
            <w:tcBorders>
              <w:top w:val="single" w:sz="4" w:space="0" w:color="869492"/>
              <w:left w:val="single" w:sz="4" w:space="0" w:color="869492"/>
              <w:bottom w:val="single" w:sz="4" w:space="0" w:color="869492"/>
              <w:right w:val="single" w:sz="4" w:space="0" w:color="869492"/>
            </w:tcBorders>
            <w:shd w:val="clear" w:color="auto" w:fill="auto"/>
            <w:tcMar>
              <w:top w:w="15" w:type="dxa"/>
              <w:left w:w="18" w:type="dxa"/>
              <w:bottom w:w="0" w:type="dxa"/>
              <w:right w:w="18" w:type="dxa"/>
            </w:tcMar>
            <w:hideMark/>
          </w:tcPr>
          <w:p w:rsidR="001873F8" w:rsidRPr="001873F8" w:rsidRDefault="00DC2A8C" w:rsidP="001873F8">
            <w:pPr>
              <w:jc w:val="center"/>
              <w:rPr>
                <w:rFonts w:ascii="Segoe UI" w:hAnsi="Segoe UI" w:cs="Segoe UI"/>
                <w:bCs/>
              </w:rPr>
            </w:pPr>
            <w:r>
              <w:rPr>
                <w:rFonts w:ascii="Segoe UI" w:hAnsi="Segoe UI" w:cs="Segoe UI"/>
                <w:bCs/>
              </w:rPr>
              <w:t>12.8</w:t>
            </w:r>
            <w:r w:rsidR="001873F8" w:rsidRPr="001873F8">
              <w:rPr>
                <w:rFonts w:ascii="Segoe UI" w:hAnsi="Segoe UI" w:cs="Segoe UI"/>
                <w:bCs/>
              </w:rPr>
              <w:t>%</w:t>
            </w:r>
          </w:p>
        </w:tc>
      </w:tr>
      <w:tr w:rsidR="001873F8" w:rsidRPr="00704AAB" w:rsidTr="001873F8">
        <w:trPr>
          <w:trHeight w:val="347"/>
        </w:trPr>
        <w:tc>
          <w:tcPr>
            <w:tcW w:w="1369" w:type="dxa"/>
            <w:tcBorders>
              <w:top w:val="single" w:sz="4" w:space="0" w:color="869492"/>
              <w:left w:val="single" w:sz="4" w:space="0" w:color="869492"/>
              <w:bottom w:val="single" w:sz="4" w:space="0" w:color="869492"/>
              <w:right w:val="single" w:sz="4" w:space="0" w:color="869492"/>
            </w:tcBorders>
            <w:shd w:val="clear" w:color="auto" w:fill="auto"/>
            <w:tcMar>
              <w:top w:w="15" w:type="dxa"/>
              <w:left w:w="18" w:type="dxa"/>
              <w:bottom w:w="0" w:type="dxa"/>
              <w:right w:w="18" w:type="dxa"/>
            </w:tcMar>
            <w:hideMark/>
          </w:tcPr>
          <w:p w:rsidR="001873F8" w:rsidRPr="00704AAB" w:rsidRDefault="001873F8" w:rsidP="001873F8">
            <w:pPr>
              <w:spacing w:after="0" w:line="240" w:lineRule="auto"/>
              <w:contextualSpacing/>
              <w:jc w:val="center"/>
              <w:rPr>
                <w:rFonts w:ascii="Segoe UI" w:hAnsi="Segoe UI" w:cs="Segoe UI"/>
              </w:rPr>
            </w:pPr>
            <w:r w:rsidRPr="00704AAB">
              <w:rPr>
                <w:rFonts w:ascii="Segoe UI" w:hAnsi="Segoe UI" w:cs="Segoe UI"/>
                <w:b/>
                <w:bCs/>
              </w:rPr>
              <w:t>% Female</w:t>
            </w:r>
          </w:p>
        </w:tc>
        <w:tc>
          <w:tcPr>
            <w:tcW w:w="1919" w:type="dxa"/>
            <w:tcBorders>
              <w:top w:val="single" w:sz="4" w:space="0" w:color="869492"/>
              <w:left w:val="single" w:sz="4" w:space="0" w:color="869492"/>
              <w:bottom w:val="single" w:sz="4" w:space="0" w:color="869492"/>
              <w:right w:val="single" w:sz="4" w:space="0" w:color="869492"/>
            </w:tcBorders>
            <w:shd w:val="clear" w:color="auto" w:fill="auto"/>
            <w:tcMar>
              <w:top w:w="15" w:type="dxa"/>
              <w:left w:w="18" w:type="dxa"/>
              <w:bottom w:w="0" w:type="dxa"/>
              <w:right w:w="18" w:type="dxa"/>
            </w:tcMar>
            <w:hideMark/>
          </w:tcPr>
          <w:p w:rsidR="001873F8" w:rsidRPr="001873F8" w:rsidRDefault="00DC2A8C" w:rsidP="001873F8">
            <w:pPr>
              <w:jc w:val="center"/>
              <w:rPr>
                <w:rFonts w:ascii="Segoe UI" w:hAnsi="Segoe UI" w:cs="Segoe UI"/>
                <w:bCs/>
              </w:rPr>
            </w:pPr>
            <w:r>
              <w:rPr>
                <w:rFonts w:ascii="Segoe UI" w:hAnsi="Segoe UI" w:cs="Segoe UI"/>
                <w:bCs/>
              </w:rPr>
              <w:t>95.5</w:t>
            </w:r>
            <w:r w:rsidR="001873F8" w:rsidRPr="001873F8">
              <w:rPr>
                <w:rFonts w:ascii="Segoe UI" w:hAnsi="Segoe UI" w:cs="Segoe UI"/>
                <w:bCs/>
              </w:rPr>
              <w:t>%</w:t>
            </w:r>
          </w:p>
        </w:tc>
        <w:tc>
          <w:tcPr>
            <w:tcW w:w="1919" w:type="dxa"/>
            <w:tcBorders>
              <w:top w:val="single" w:sz="4" w:space="0" w:color="869492"/>
              <w:left w:val="single" w:sz="4" w:space="0" w:color="869492"/>
              <w:bottom w:val="single" w:sz="4" w:space="0" w:color="869492"/>
              <w:right w:val="single" w:sz="4" w:space="0" w:color="869492"/>
            </w:tcBorders>
            <w:shd w:val="clear" w:color="auto" w:fill="auto"/>
            <w:tcMar>
              <w:top w:w="15" w:type="dxa"/>
              <w:left w:w="18" w:type="dxa"/>
              <w:bottom w:w="0" w:type="dxa"/>
              <w:right w:w="18" w:type="dxa"/>
            </w:tcMar>
            <w:hideMark/>
          </w:tcPr>
          <w:p w:rsidR="001873F8" w:rsidRPr="001873F8" w:rsidRDefault="00DC2A8C" w:rsidP="001873F8">
            <w:pPr>
              <w:jc w:val="center"/>
              <w:rPr>
                <w:rFonts w:ascii="Segoe UI" w:hAnsi="Segoe UI" w:cs="Segoe UI"/>
                <w:bCs/>
              </w:rPr>
            </w:pPr>
            <w:r>
              <w:rPr>
                <w:rFonts w:ascii="Segoe UI" w:hAnsi="Segoe UI" w:cs="Segoe UI"/>
                <w:bCs/>
              </w:rPr>
              <w:t>97.4</w:t>
            </w:r>
            <w:r w:rsidR="001873F8" w:rsidRPr="001873F8">
              <w:rPr>
                <w:rFonts w:ascii="Segoe UI" w:hAnsi="Segoe UI" w:cs="Segoe UI"/>
                <w:bCs/>
              </w:rPr>
              <w:t>%</w:t>
            </w:r>
          </w:p>
        </w:tc>
        <w:tc>
          <w:tcPr>
            <w:tcW w:w="1919" w:type="dxa"/>
            <w:tcBorders>
              <w:top w:val="single" w:sz="4" w:space="0" w:color="869492"/>
              <w:left w:val="single" w:sz="4" w:space="0" w:color="869492"/>
              <w:bottom w:val="single" w:sz="4" w:space="0" w:color="869492"/>
              <w:right w:val="single" w:sz="4" w:space="0" w:color="869492"/>
            </w:tcBorders>
            <w:shd w:val="clear" w:color="auto" w:fill="auto"/>
            <w:tcMar>
              <w:top w:w="15" w:type="dxa"/>
              <w:left w:w="18" w:type="dxa"/>
              <w:bottom w:w="0" w:type="dxa"/>
              <w:right w:w="18" w:type="dxa"/>
            </w:tcMar>
            <w:hideMark/>
          </w:tcPr>
          <w:p w:rsidR="001873F8" w:rsidRPr="001873F8" w:rsidRDefault="001873F8" w:rsidP="00DC2A8C">
            <w:pPr>
              <w:jc w:val="center"/>
              <w:rPr>
                <w:rFonts w:ascii="Segoe UI" w:hAnsi="Segoe UI" w:cs="Segoe UI"/>
                <w:bCs/>
              </w:rPr>
            </w:pPr>
            <w:r w:rsidRPr="001873F8">
              <w:rPr>
                <w:rFonts w:ascii="Segoe UI" w:hAnsi="Segoe UI" w:cs="Segoe UI"/>
                <w:bCs/>
              </w:rPr>
              <w:t>97.9%</w:t>
            </w:r>
          </w:p>
        </w:tc>
        <w:tc>
          <w:tcPr>
            <w:tcW w:w="1919" w:type="dxa"/>
            <w:tcBorders>
              <w:top w:val="single" w:sz="4" w:space="0" w:color="869492"/>
              <w:left w:val="single" w:sz="4" w:space="0" w:color="869492"/>
              <w:bottom w:val="single" w:sz="4" w:space="0" w:color="869492"/>
              <w:right w:val="single" w:sz="4" w:space="0" w:color="869492"/>
            </w:tcBorders>
            <w:shd w:val="clear" w:color="auto" w:fill="auto"/>
            <w:tcMar>
              <w:top w:w="15" w:type="dxa"/>
              <w:left w:w="18" w:type="dxa"/>
              <w:bottom w:w="0" w:type="dxa"/>
              <w:right w:w="18" w:type="dxa"/>
            </w:tcMar>
            <w:hideMark/>
          </w:tcPr>
          <w:p w:rsidR="001873F8" w:rsidRPr="001873F8" w:rsidRDefault="001873F8" w:rsidP="001873F8">
            <w:pPr>
              <w:jc w:val="center"/>
              <w:rPr>
                <w:rFonts w:ascii="Segoe UI" w:hAnsi="Segoe UI" w:cs="Segoe UI"/>
                <w:bCs/>
              </w:rPr>
            </w:pPr>
            <w:r w:rsidRPr="001873F8">
              <w:rPr>
                <w:rFonts w:ascii="Segoe UI" w:hAnsi="Segoe UI" w:cs="Segoe UI"/>
                <w:bCs/>
              </w:rPr>
              <w:t>8</w:t>
            </w:r>
            <w:r w:rsidR="00DC2A8C">
              <w:rPr>
                <w:rFonts w:ascii="Segoe UI" w:hAnsi="Segoe UI" w:cs="Segoe UI"/>
                <w:bCs/>
              </w:rPr>
              <w:t>7.2</w:t>
            </w:r>
            <w:r w:rsidRPr="001873F8">
              <w:rPr>
                <w:rFonts w:ascii="Segoe UI" w:hAnsi="Segoe UI" w:cs="Segoe UI"/>
                <w:bCs/>
              </w:rPr>
              <w:t>%</w:t>
            </w:r>
          </w:p>
        </w:tc>
      </w:tr>
    </w:tbl>
    <w:p w:rsidR="00704AAB" w:rsidRDefault="00704AAB" w:rsidP="007D2BAE">
      <w:pPr>
        <w:spacing w:after="0" w:line="240" w:lineRule="auto"/>
        <w:contextualSpacing/>
        <w:jc w:val="both"/>
        <w:rPr>
          <w:rFonts w:ascii="Segoe UI" w:hAnsi="Segoe UI" w:cs="Segoe UI"/>
        </w:rPr>
      </w:pPr>
    </w:p>
    <w:p w:rsidR="00704AAB" w:rsidRPr="00CC5779" w:rsidRDefault="009F18FD" w:rsidP="007D2BAE">
      <w:pPr>
        <w:spacing w:after="0" w:line="240" w:lineRule="auto"/>
        <w:contextualSpacing/>
        <w:jc w:val="both"/>
        <w:rPr>
          <w:rFonts w:ascii="Segoe UI" w:hAnsi="Segoe UI" w:cs="Segoe UI"/>
          <w:b/>
          <w:u w:val="single"/>
        </w:rPr>
      </w:pPr>
      <w:r w:rsidRPr="00CC5779">
        <w:rPr>
          <w:rFonts w:ascii="Segoe UI" w:hAnsi="Segoe UI" w:cs="Segoe UI"/>
          <w:b/>
          <w:u w:val="single"/>
        </w:rPr>
        <w:t>Pay rises in April 2018</w:t>
      </w:r>
    </w:p>
    <w:p w:rsidR="009F18FD" w:rsidRDefault="009F18FD" w:rsidP="007D2BAE">
      <w:pPr>
        <w:spacing w:after="0" w:line="240" w:lineRule="auto"/>
        <w:contextualSpacing/>
        <w:jc w:val="both"/>
        <w:rPr>
          <w:rFonts w:ascii="Segoe UI" w:hAnsi="Segoe UI" w:cs="Segoe UI"/>
        </w:rPr>
      </w:pPr>
    </w:p>
    <w:p w:rsidR="00CC5779" w:rsidRDefault="00CC5779" w:rsidP="00CC5779">
      <w:pPr>
        <w:spacing w:after="0" w:line="240" w:lineRule="auto"/>
        <w:contextualSpacing/>
        <w:jc w:val="both"/>
        <w:rPr>
          <w:rFonts w:ascii="Segoe UI" w:hAnsi="Segoe UI" w:cs="Segoe UI"/>
        </w:rPr>
      </w:pPr>
      <w:r>
        <w:rPr>
          <w:rFonts w:ascii="Segoe UI" w:hAnsi="Segoe UI" w:cs="Segoe UI"/>
        </w:rPr>
        <w:t>We want everyone who works</w:t>
      </w:r>
      <w:r w:rsidRPr="00CC5779">
        <w:rPr>
          <w:rFonts w:ascii="Segoe UI" w:hAnsi="Segoe UI" w:cs="Segoe UI"/>
        </w:rPr>
        <w:t xml:space="preserve"> </w:t>
      </w:r>
      <w:r>
        <w:rPr>
          <w:rFonts w:ascii="Segoe UI" w:hAnsi="Segoe UI" w:cs="Segoe UI"/>
        </w:rPr>
        <w:t xml:space="preserve">at </w:t>
      </w:r>
      <w:r w:rsidR="001C26D8">
        <w:rPr>
          <w:rFonts w:ascii="Segoe UI" w:hAnsi="Segoe UI" w:cs="Segoe UI"/>
        </w:rPr>
        <w:t>mydentist</w:t>
      </w:r>
      <w:r w:rsidRPr="00CC5779">
        <w:rPr>
          <w:rFonts w:ascii="Segoe UI" w:hAnsi="Segoe UI" w:cs="Segoe UI"/>
        </w:rPr>
        <w:t xml:space="preserve"> to feel valued, rewarded and</w:t>
      </w:r>
      <w:r>
        <w:rPr>
          <w:rFonts w:ascii="Segoe UI" w:hAnsi="Segoe UI" w:cs="Segoe UI"/>
        </w:rPr>
        <w:t xml:space="preserve"> recognised for their hard work. That is why, th</w:t>
      </w:r>
      <w:r w:rsidRPr="00CC5779">
        <w:rPr>
          <w:rFonts w:ascii="Segoe UI" w:hAnsi="Segoe UI" w:cs="Segoe UI"/>
        </w:rPr>
        <w:t xml:space="preserve">is year, we are investing over £2.5 million </w:t>
      </w:r>
      <w:r>
        <w:rPr>
          <w:rFonts w:ascii="Segoe UI" w:hAnsi="Segoe UI" w:cs="Segoe UI"/>
        </w:rPr>
        <w:t>to improve the pay of employees at our local practices.</w:t>
      </w:r>
    </w:p>
    <w:p w:rsidR="00CC5779" w:rsidRDefault="00CC5779" w:rsidP="00CC5779">
      <w:pPr>
        <w:spacing w:after="0" w:line="240" w:lineRule="auto"/>
        <w:contextualSpacing/>
        <w:jc w:val="both"/>
        <w:rPr>
          <w:rFonts w:ascii="Segoe UI" w:hAnsi="Segoe UI" w:cs="Segoe UI"/>
        </w:rPr>
      </w:pPr>
    </w:p>
    <w:p w:rsidR="00CC5779" w:rsidRDefault="00CC5779" w:rsidP="00CC5779">
      <w:pPr>
        <w:spacing w:after="0" w:line="240" w:lineRule="auto"/>
        <w:contextualSpacing/>
        <w:jc w:val="both"/>
        <w:rPr>
          <w:rFonts w:ascii="Segoe UI" w:hAnsi="Segoe UI" w:cs="Segoe UI"/>
        </w:rPr>
      </w:pPr>
      <w:r>
        <w:rPr>
          <w:rFonts w:ascii="Segoe UI" w:hAnsi="Segoe UI" w:cs="Segoe UI"/>
        </w:rPr>
        <w:t xml:space="preserve">As a result, from 1 April 2018, </w:t>
      </w:r>
      <w:r w:rsidRPr="00CC5779">
        <w:rPr>
          <w:rFonts w:ascii="Segoe UI" w:hAnsi="Segoe UI" w:cs="Segoe UI"/>
          <w:b/>
          <w:color w:val="BA4E97" w:themeColor="accent2"/>
        </w:rPr>
        <w:t>9</w:t>
      </w:r>
      <w:r w:rsidR="00060BEB">
        <w:rPr>
          <w:rFonts w:ascii="Segoe UI" w:hAnsi="Segoe UI" w:cs="Segoe UI"/>
          <w:b/>
          <w:color w:val="BA4E97" w:themeColor="accent2"/>
        </w:rPr>
        <w:t>5</w:t>
      </w:r>
      <w:r w:rsidRPr="00CC5779">
        <w:rPr>
          <w:rFonts w:ascii="Segoe UI" w:hAnsi="Segoe UI" w:cs="Segoe UI"/>
          <w:b/>
          <w:color w:val="BA4E97" w:themeColor="accent2"/>
        </w:rPr>
        <w:t>% of pay rises will be going to female employees</w:t>
      </w:r>
      <w:r>
        <w:rPr>
          <w:rFonts w:ascii="Segoe UI" w:hAnsi="Segoe UI" w:cs="Segoe UI"/>
        </w:rPr>
        <w:t xml:space="preserve">. For a full-time, qualified nurse, currently on the National Living Wage, this will result in an </w:t>
      </w:r>
      <w:r w:rsidRPr="00CC5779">
        <w:rPr>
          <w:rFonts w:ascii="Segoe UI" w:hAnsi="Segoe UI" w:cs="Segoe UI"/>
          <w:b/>
          <w:color w:val="BA4E97" w:themeColor="accent2"/>
        </w:rPr>
        <w:t>average pay rise of 14%.</w:t>
      </w:r>
    </w:p>
    <w:p w:rsidR="00CC5779" w:rsidRDefault="00CC5779" w:rsidP="00CC5779">
      <w:pPr>
        <w:spacing w:after="0" w:line="240" w:lineRule="auto"/>
        <w:contextualSpacing/>
        <w:jc w:val="both"/>
        <w:rPr>
          <w:rFonts w:ascii="Segoe UI" w:hAnsi="Segoe UI" w:cs="Segoe UI"/>
        </w:rPr>
      </w:pPr>
    </w:p>
    <w:p w:rsidR="00CC5779" w:rsidRDefault="00225D1A" w:rsidP="00CC5779">
      <w:pPr>
        <w:spacing w:after="0" w:line="240" w:lineRule="auto"/>
        <w:contextualSpacing/>
        <w:jc w:val="both"/>
        <w:rPr>
          <w:rFonts w:ascii="Segoe UI" w:hAnsi="Segoe UI" w:cs="Segoe UI"/>
        </w:rPr>
      </w:pPr>
      <w:r>
        <w:rPr>
          <w:rFonts w:ascii="Segoe UI" w:hAnsi="Segoe UI" w:cs="Segoe UI"/>
        </w:rPr>
        <w:t>This year</w:t>
      </w:r>
      <w:r w:rsidR="007A624E">
        <w:rPr>
          <w:rFonts w:ascii="Segoe UI" w:hAnsi="Segoe UI" w:cs="Segoe UI"/>
        </w:rPr>
        <w:t>,</w:t>
      </w:r>
      <w:r w:rsidR="00CC5779">
        <w:rPr>
          <w:rFonts w:ascii="Segoe UI" w:hAnsi="Segoe UI" w:cs="Segoe UI"/>
        </w:rPr>
        <w:t xml:space="preserve"> </w:t>
      </w:r>
      <w:r w:rsidR="00FE519F">
        <w:rPr>
          <w:rFonts w:ascii="Segoe UI" w:hAnsi="Segoe UI" w:cs="Segoe UI"/>
        </w:rPr>
        <w:t xml:space="preserve">the </w:t>
      </w:r>
      <w:r w:rsidR="00CC5779" w:rsidRPr="007A624E">
        <w:rPr>
          <w:rFonts w:ascii="Segoe UI" w:hAnsi="Segoe UI" w:cs="Segoe UI"/>
          <w:b/>
          <w:color w:val="BA4E97" w:themeColor="accent2"/>
        </w:rPr>
        <w:t>ave</w:t>
      </w:r>
      <w:r w:rsidR="00CC5779" w:rsidRPr="00CC5779">
        <w:rPr>
          <w:rFonts w:ascii="Segoe UI" w:hAnsi="Segoe UI" w:cs="Segoe UI"/>
          <w:b/>
          <w:color w:val="BA4E97" w:themeColor="accent2"/>
        </w:rPr>
        <w:t xml:space="preserve">rage pay rise </w:t>
      </w:r>
      <w:r w:rsidR="00CC5779" w:rsidRPr="00FE519F">
        <w:rPr>
          <w:rFonts w:ascii="Segoe UI" w:hAnsi="Segoe UI" w:cs="Segoe UI"/>
          <w:b/>
          <w:color w:val="BA4E97" w:themeColor="accent2"/>
        </w:rPr>
        <w:t>for women</w:t>
      </w:r>
      <w:r w:rsidR="00FE519F" w:rsidRPr="00FE519F">
        <w:rPr>
          <w:rFonts w:ascii="Segoe UI" w:hAnsi="Segoe UI" w:cs="Segoe UI"/>
        </w:rPr>
        <w:t xml:space="preserve"> at our practices</w:t>
      </w:r>
      <w:r w:rsidR="00CC5779" w:rsidRPr="00FE519F">
        <w:rPr>
          <w:rFonts w:ascii="Segoe UI" w:hAnsi="Segoe UI" w:cs="Segoe UI"/>
        </w:rPr>
        <w:t xml:space="preserve"> will be</w:t>
      </w:r>
      <w:r w:rsidR="00CC5779" w:rsidRPr="00CC5779">
        <w:rPr>
          <w:rFonts w:ascii="Segoe UI" w:hAnsi="Segoe UI" w:cs="Segoe UI"/>
          <w:b/>
          <w:color w:val="BA4E97" w:themeColor="accent2"/>
        </w:rPr>
        <w:t xml:space="preserve"> 3.84%, 2</w:t>
      </w:r>
      <w:r w:rsidR="00CC5779">
        <w:rPr>
          <w:rFonts w:ascii="Segoe UI" w:hAnsi="Segoe UI" w:cs="Segoe UI"/>
          <w:b/>
          <w:color w:val="BA4E97" w:themeColor="accent2"/>
        </w:rPr>
        <w:t>9</w:t>
      </w:r>
      <w:r w:rsidR="00CC5779" w:rsidRPr="00CC5779">
        <w:rPr>
          <w:rFonts w:ascii="Segoe UI" w:hAnsi="Segoe UI" w:cs="Segoe UI"/>
          <w:b/>
          <w:color w:val="BA4E97" w:themeColor="accent2"/>
        </w:rPr>
        <w:t>% higher than the average pay rise for men</w:t>
      </w:r>
      <w:r w:rsidR="00CC5779">
        <w:rPr>
          <w:rFonts w:ascii="Segoe UI" w:hAnsi="Segoe UI" w:cs="Segoe UI"/>
        </w:rPr>
        <w:t>.</w:t>
      </w:r>
    </w:p>
    <w:p w:rsidR="001C26D8" w:rsidRDefault="001C26D8" w:rsidP="00CC5779">
      <w:pPr>
        <w:spacing w:after="0" w:line="240" w:lineRule="auto"/>
        <w:contextualSpacing/>
        <w:jc w:val="both"/>
        <w:rPr>
          <w:rFonts w:ascii="Segoe UI" w:hAnsi="Segoe UI" w:cs="Segoe UI"/>
        </w:rPr>
      </w:pPr>
    </w:p>
    <w:p w:rsidR="00723A34" w:rsidRPr="00723A34" w:rsidRDefault="00723A34" w:rsidP="00CC5779">
      <w:pPr>
        <w:spacing w:after="0" w:line="240" w:lineRule="auto"/>
        <w:contextualSpacing/>
        <w:jc w:val="both"/>
        <w:rPr>
          <w:rFonts w:ascii="Segoe UI" w:hAnsi="Segoe UI" w:cs="Segoe UI"/>
          <w:sz w:val="2"/>
        </w:rPr>
      </w:pPr>
    </w:p>
    <w:p w:rsidR="007451D2" w:rsidRDefault="007451D2" w:rsidP="007451D2">
      <w:pPr>
        <w:jc w:val="both"/>
        <w:rPr>
          <w:rFonts w:ascii="Segoe UI" w:hAnsi="Segoe UI" w:cs="Segoe UI"/>
          <w:i/>
          <w:iCs/>
          <w:sz w:val="18"/>
          <w:szCs w:val="18"/>
        </w:rPr>
      </w:pPr>
      <w:proofErr w:type="gramStart"/>
      <w:r>
        <w:rPr>
          <w:rFonts w:ascii="Segoe UI" w:hAnsi="Segoe UI" w:cs="Segoe UI"/>
          <w:i/>
          <w:iCs/>
          <w:sz w:val="18"/>
          <w:szCs w:val="18"/>
        </w:rPr>
        <w:t>mydentist</w:t>
      </w:r>
      <w:proofErr w:type="gramEnd"/>
      <w:r>
        <w:rPr>
          <w:rFonts w:ascii="Segoe UI" w:hAnsi="Segoe UI" w:cs="Segoe UI"/>
          <w:i/>
          <w:iCs/>
          <w:sz w:val="18"/>
          <w:szCs w:val="18"/>
        </w:rPr>
        <w:t xml:space="preserve"> is the trading name of the IDH group of companies, which includes Petrie Tucker and Partners Limited (registered in Scotland with company number SC030254). Petrie Tucker is the employing entity for the majority of our </w:t>
      </w:r>
      <w:r>
        <w:rPr>
          <w:rFonts w:ascii="Segoe UI" w:hAnsi="Segoe UI" w:cs="Segoe UI"/>
          <w:i/>
          <w:iCs/>
          <w:sz w:val="18"/>
          <w:szCs w:val="18"/>
        </w:rPr>
        <w:lastRenderedPageBreak/>
        <w:t xml:space="preserve">employees. I confirm the information and statistics set out above are accurate and relate to employees of Petrie Tucker with reference to the snapshot date of 5 April 2017.  </w:t>
      </w:r>
    </w:p>
    <w:p w:rsidR="007451D2" w:rsidRDefault="007451D2" w:rsidP="007451D2">
      <w:pPr>
        <w:rPr>
          <w:rFonts w:ascii="Calibri" w:hAnsi="Calibri" w:cs="Times New Roman"/>
          <w:color w:val="1F497D"/>
        </w:rPr>
      </w:pPr>
      <w:r>
        <w:rPr>
          <w:rFonts w:ascii="Segoe UI" w:hAnsi="Segoe UI" w:cs="Segoe UI"/>
          <w:i/>
          <w:iCs/>
          <w:noProof/>
          <w:sz w:val="18"/>
          <w:szCs w:val="18"/>
          <w:lang w:eastAsia="en-GB"/>
        </w:rPr>
        <w:drawing>
          <wp:inline distT="0" distB="0" distL="0" distR="0">
            <wp:extent cx="1504950" cy="457200"/>
            <wp:effectExtent l="0" t="0" r="0" b="0"/>
            <wp:docPr id="3" name="Picture 3" descr="cid:image002.png@01D3CC2C.ED279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CC2C.ED279D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04950" cy="457200"/>
                    </a:xfrm>
                    <a:prstGeom prst="rect">
                      <a:avLst/>
                    </a:prstGeom>
                    <a:noFill/>
                    <a:ln>
                      <a:noFill/>
                    </a:ln>
                  </pic:spPr>
                </pic:pic>
              </a:graphicData>
            </a:graphic>
          </wp:inline>
        </w:drawing>
      </w:r>
    </w:p>
    <w:p w:rsidR="007451D2" w:rsidRDefault="007451D2" w:rsidP="003051BA">
      <w:pPr>
        <w:spacing w:after="0"/>
        <w:jc w:val="both"/>
        <w:rPr>
          <w:rFonts w:ascii="Segoe UI" w:hAnsi="Segoe UI" w:cs="Segoe UI"/>
          <w:b/>
          <w:bCs/>
          <w:sz w:val="20"/>
          <w:szCs w:val="20"/>
        </w:rPr>
      </w:pPr>
      <w:r>
        <w:rPr>
          <w:rFonts w:ascii="Segoe UI" w:hAnsi="Segoe UI" w:cs="Segoe UI"/>
          <w:b/>
          <w:bCs/>
          <w:sz w:val="20"/>
          <w:szCs w:val="20"/>
        </w:rPr>
        <w:t>Tom Riall</w:t>
      </w:r>
    </w:p>
    <w:p w:rsidR="007451D2" w:rsidRDefault="007451D2" w:rsidP="003051BA">
      <w:pPr>
        <w:spacing w:after="0"/>
        <w:jc w:val="both"/>
        <w:rPr>
          <w:rFonts w:ascii="Segoe UI" w:hAnsi="Segoe UI" w:cs="Segoe UI"/>
          <w:sz w:val="20"/>
          <w:szCs w:val="20"/>
        </w:rPr>
      </w:pPr>
      <w:r>
        <w:rPr>
          <w:rFonts w:ascii="Segoe UI" w:hAnsi="Segoe UI" w:cs="Segoe UI"/>
          <w:sz w:val="20"/>
          <w:szCs w:val="20"/>
        </w:rPr>
        <w:t>IDH Group, Chief Executive Officer</w:t>
      </w:r>
    </w:p>
    <w:p w:rsidR="001C26D8" w:rsidRPr="007B2B9A" w:rsidRDefault="001C26D8" w:rsidP="007451D2">
      <w:pPr>
        <w:spacing w:after="0" w:line="240" w:lineRule="auto"/>
        <w:contextualSpacing/>
        <w:jc w:val="both"/>
        <w:rPr>
          <w:rFonts w:ascii="Segoe UI" w:hAnsi="Segoe UI" w:cs="Segoe UI"/>
          <w:i/>
          <w:sz w:val="18"/>
          <w:szCs w:val="16"/>
        </w:rPr>
      </w:pPr>
      <w:bookmarkStart w:id="0" w:name="_GoBack"/>
      <w:bookmarkEnd w:id="0"/>
    </w:p>
    <w:sectPr w:rsidR="001C26D8" w:rsidRPr="007B2B9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44B" w:rsidRDefault="005B444B" w:rsidP="00C90EA9">
      <w:pPr>
        <w:spacing w:after="0" w:line="240" w:lineRule="auto"/>
      </w:pPr>
      <w:r>
        <w:separator/>
      </w:r>
    </w:p>
  </w:endnote>
  <w:endnote w:type="continuationSeparator" w:id="0">
    <w:p w:rsidR="005B444B" w:rsidRDefault="005B444B" w:rsidP="00C90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832929"/>
      <w:docPartObj>
        <w:docPartGallery w:val="Page Numbers (Bottom of Page)"/>
        <w:docPartUnique/>
      </w:docPartObj>
    </w:sdtPr>
    <w:sdtEndPr>
      <w:rPr>
        <w:noProof/>
      </w:rPr>
    </w:sdtEndPr>
    <w:sdtContent>
      <w:p w:rsidR="00512EA2" w:rsidRDefault="00512EA2">
        <w:pPr>
          <w:pStyle w:val="Footer"/>
          <w:jc w:val="right"/>
        </w:pPr>
        <w:r>
          <w:fldChar w:fldCharType="begin"/>
        </w:r>
        <w:r>
          <w:instrText xml:space="preserve"> PAGE   \* MERGEFORMAT </w:instrText>
        </w:r>
        <w:r>
          <w:fldChar w:fldCharType="separate"/>
        </w:r>
        <w:r w:rsidR="003051BA">
          <w:rPr>
            <w:noProof/>
          </w:rPr>
          <w:t>3</w:t>
        </w:r>
        <w:r>
          <w:rPr>
            <w:noProof/>
          </w:rPr>
          <w:fldChar w:fldCharType="end"/>
        </w:r>
      </w:p>
    </w:sdtContent>
  </w:sdt>
  <w:p w:rsidR="00512EA2" w:rsidRDefault="00512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44B" w:rsidRDefault="005B444B" w:rsidP="00C90EA9">
      <w:pPr>
        <w:spacing w:after="0" w:line="240" w:lineRule="auto"/>
      </w:pPr>
      <w:r>
        <w:separator/>
      </w:r>
    </w:p>
  </w:footnote>
  <w:footnote w:type="continuationSeparator" w:id="0">
    <w:p w:rsidR="005B444B" w:rsidRDefault="005B444B" w:rsidP="00C90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EA2" w:rsidRDefault="00512EA2">
    <w:pPr>
      <w:pStyle w:val="Header"/>
    </w:pPr>
    <w:r>
      <w:rPr>
        <w:rFonts w:ascii="Segoe UI" w:hAnsi="Segoe UI" w:cs="Segoe UI"/>
        <w:b/>
        <w:noProof/>
        <w:sz w:val="24"/>
        <w:lang w:eastAsia="en-GB"/>
      </w:rPr>
      <mc:AlternateContent>
        <mc:Choice Requires="wps">
          <w:drawing>
            <wp:anchor distT="0" distB="0" distL="114300" distR="114300" simplePos="0" relativeHeight="251660288" behindDoc="0" locked="0" layoutInCell="1" allowOverlap="1" wp14:anchorId="44008A4B" wp14:editId="63C64705">
              <wp:simplePos x="0" y="0"/>
              <wp:positionH relativeFrom="column">
                <wp:posOffset>-1199875</wp:posOffset>
              </wp:positionH>
              <wp:positionV relativeFrom="paragraph">
                <wp:posOffset>-678521</wp:posOffset>
              </wp:positionV>
              <wp:extent cx="1146175" cy="1146175"/>
              <wp:effectExtent l="0" t="0" r="0" b="0"/>
              <wp:wrapNone/>
              <wp:docPr id="1" name="Oval 1"/>
              <wp:cNvGraphicFramePr/>
              <a:graphic xmlns:a="http://schemas.openxmlformats.org/drawingml/2006/main">
                <a:graphicData uri="http://schemas.microsoft.com/office/word/2010/wordprocessingShape">
                  <wps:wsp>
                    <wps:cNvSpPr/>
                    <wps:spPr>
                      <a:xfrm>
                        <a:off x="0" y="0"/>
                        <a:ext cx="1146175" cy="1146175"/>
                      </a:xfrm>
                      <a:prstGeom prst="ellipse">
                        <a:avLst/>
                      </a:prstGeom>
                      <a:solidFill>
                        <a:schemeClr val="accent1">
                          <a:alpha val="4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E168E06" id="Oval 1" o:spid="_x0000_s1026" style="position:absolute;margin-left:-94.5pt;margin-top:-53.45pt;width:90.25pt;height:9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" fillcolor="#66c1bf [3204]" stroked="f" strokeweight="2pt">
              <v:fill opacity="26985f"/>
            </v:oval>
          </w:pict>
        </mc:Fallback>
      </mc:AlternateContent>
    </w:r>
    <w:r>
      <w:rPr>
        <w:noProof/>
        <w:lang w:eastAsia="en-GB"/>
      </w:rPr>
      <w:drawing>
        <wp:anchor distT="0" distB="0" distL="114300" distR="114300" simplePos="0" relativeHeight="251658240" behindDoc="1" locked="0" layoutInCell="1" allowOverlap="1" wp14:anchorId="663B9E98" wp14:editId="18400A35">
          <wp:simplePos x="0" y="0"/>
          <wp:positionH relativeFrom="column">
            <wp:posOffset>4080510</wp:posOffset>
          </wp:positionH>
          <wp:positionV relativeFrom="paragraph">
            <wp:posOffset>-340995</wp:posOffset>
          </wp:positionV>
          <wp:extent cx="2415540" cy="805180"/>
          <wp:effectExtent l="0" t="0" r="3810" b="0"/>
          <wp:wrapTight wrapText="bothSides">
            <wp:wrapPolygon edited="0">
              <wp:start x="0" y="0"/>
              <wp:lineTo x="0" y="20953"/>
              <wp:lineTo x="21464" y="20953"/>
              <wp:lineTo x="21464" y="0"/>
              <wp:lineTo x="0" y="0"/>
            </wp:wrapPolygon>
          </wp:wrapTight>
          <wp:docPr id="2" name="Picture 2" descr="X:\Central Ops - Shared Folder\Central Ops\Comms\Image Library\Brand Images\my denti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Central Ops - Shared Folder\Central Ops\Comms\Image Library\Brand Images\my dentist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5540" cy="805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7CC3"/>
    <w:multiLevelType w:val="hybridMultilevel"/>
    <w:tmpl w:val="15629E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A10BF4"/>
    <w:multiLevelType w:val="hybridMultilevel"/>
    <w:tmpl w:val="4D7AD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AE3432"/>
    <w:multiLevelType w:val="hybridMultilevel"/>
    <w:tmpl w:val="B3E60BEA"/>
    <w:lvl w:ilvl="0" w:tplc="65FE2090">
      <w:start w:val="7"/>
      <w:numFmt w:val="bullet"/>
      <w:lvlText w:val=""/>
      <w:lvlJc w:val="left"/>
      <w:pPr>
        <w:ind w:left="360" w:hanging="360"/>
      </w:pPr>
      <w:rPr>
        <w:rFonts w:ascii="Symbol" w:eastAsiaTheme="minorHAnsi" w:hAnsi="Symbol" w:cs="Segoe U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D92ED2"/>
    <w:multiLevelType w:val="hybridMultilevel"/>
    <w:tmpl w:val="C414A7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6656F9"/>
    <w:multiLevelType w:val="hybridMultilevel"/>
    <w:tmpl w:val="A3081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682278"/>
    <w:multiLevelType w:val="hybridMultilevel"/>
    <w:tmpl w:val="02FCE0AC"/>
    <w:lvl w:ilvl="0" w:tplc="65FE2090">
      <w:start w:val="7"/>
      <w:numFmt w:val="bullet"/>
      <w:lvlText w:val=""/>
      <w:lvlJc w:val="left"/>
      <w:pPr>
        <w:ind w:left="360"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0426A"/>
    <w:multiLevelType w:val="hybridMultilevel"/>
    <w:tmpl w:val="D610CA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ECB7945"/>
    <w:multiLevelType w:val="hybridMultilevel"/>
    <w:tmpl w:val="61B271AA"/>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4327B7"/>
    <w:multiLevelType w:val="hybridMultilevel"/>
    <w:tmpl w:val="A3AA53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A6B7E1A"/>
    <w:multiLevelType w:val="hybridMultilevel"/>
    <w:tmpl w:val="3178174C"/>
    <w:lvl w:ilvl="0" w:tplc="447A821E">
      <w:start w:val="1000"/>
      <w:numFmt w:val="bullet"/>
      <w:lvlText w:val=""/>
      <w:lvlJc w:val="left"/>
      <w:pPr>
        <w:ind w:left="360" w:hanging="360"/>
      </w:pPr>
      <w:rPr>
        <w:rFonts w:ascii="Symbol" w:eastAsiaTheme="minorHAnsi" w:hAnsi="Symbol" w:cs="Segoe UI" w:hint="default"/>
      </w:rPr>
    </w:lvl>
    <w:lvl w:ilvl="1" w:tplc="08090001">
      <w:start w:val="1"/>
      <w:numFmt w:val="bullet"/>
      <w:lvlText w:val=""/>
      <w:lvlJc w:val="left"/>
      <w:pPr>
        <w:ind w:left="644" w:hanging="360"/>
      </w:pPr>
      <w:rPr>
        <w:rFonts w:ascii="Symbol" w:hAnsi="Symbol" w:hint="default"/>
      </w:rPr>
    </w:lvl>
    <w:lvl w:ilvl="2" w:tplc="08090003">
      <w:start w:val="1"/>
      <w:numFmt w:val="bullet"/>
      <w:lvlText w:val="o"/>
      <w:lvlJc w:val="left"/>
      <w:pPr>
        <w:ind w:left="927"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306523"/>
    <w:multiLevelType w:val="hybridMultilevel"/>
    <w:tmpl w:val="94947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496F1E"/>
    <w:multiLevelType w:val="hybridMultilevel"/>
    <w:tmpl w:val="32684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2477F5F"/>
    <w:multiLevelType w:val="hybridMultilevel"/>
    <w:tmpl w:val="5ECADE8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8F4672"/>
    <w:multiLevelType w:val="hybridMultilevel"/>
    <w:tmpl w:val="67AC87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FF48A1"/>
    <w:multiLevelType w:val="hybridMultilevel"/>
    <w:tmpl w:val="4042A78A"/>
    <w:lvl w:ilvl="0" w:tplc="65FE2090">
      <w:start w:val="7"/>
      <w:numFmt w:val="bullet"/>
      <w:lvlText w:val=""/>
      <w:lvlJc w:val="left"/>
      <w:pPr>
        <w:ind w:left="360" w:hanging="360"/>
      </w:pPr>
      <w:rPr>
        <w:rFonts w:ascii="Symbol" w:eastAsiaTheme="minorHAnsi" w:hAnsi="Symbol" w:cs="Segoe U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BE0987"/>
    <w:multiLevelType w:val="hybridMultilevel"/>
    <w:tmpl w:val="6646FBEC"/>
    <w:lvl w:ilvl="0" w:tplc="447A821E">
      <w:start w:val="1000"/>
      <w:numFmt w:val="bullet"/>
      <w:lvlText w:val=""/>
      <w:lvlJc w:val="left"/>
      <w:pPr>
        <w:ind w:left="360"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E6F79"/>
    <w:multiLevelType w:val="hybridMultilevel"/>
    <w:tmpl w:val="05303DD4"/>
    <w:lvl w:ilvl="0" w:tplc="9F724588">
      <w:start w:val="1"/>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406B37"/>
    <w:multiLevelType w:val="hybridMultilevel"/>
    <w:tmpl w:val="BC54587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5408FE"/>
    <w:multiLevelType w:val="hybridMultilevel"/>
    <w:tmpl w:val="640ECC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7843C4"/>
    <w:multiLevelType w:val="hybridMultilevel"/>
    <w:tmpl w:val="E4AAC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04417D"/>
    <w:multiLevelType w:val="hybridMultilevel"/>
    <w:tmpl w:val="22E6461A"/>
    <w:lvl w:ilvl="0" w:tplc="65FE2090">
      <w:start w:val="7"/>
      <w:numFmt w:val="bullet"/>
      <w:lvlText w:val=""/>
      <w:lvlJc w:val="left"/>
      <w:pPr>
        <w:ind w:left="360" w:hanging="360"/>
      </w:pPr>
      <w:rPr>
        <w:rFonts w:ascii="Symbol" w:eastAsiaTheme="minorHAnsi" w:hAnsi="Symbol" w:cs="Segoe U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7B3357"/>
    <w:multiLevelType w:val="hybridMultilevel"/>
    <w:tmpl w:val="9C52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F54A9F"/>
    <w:multiLevelType w:val="hybridMultilevel"/>
    <w:tmpl w:val="A3929E1C"/>
    <w:lvl w:ilvl="0" w:tplc="61F8EE7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E75081"/>
    <w:multiLevelType w:val="hybridMultilevel"/>
    <w:tmpl w:val="2F8C7FFE"/>
    <w:lvl w:ilvl="0" w:tplc="447A821E">
      <w:start w:val="1000"/>
      <w:numFmt w:val="bullet"/>
      <w:lvlText w:val=""/>
      <w:lvlJc w:val="left"/>
      <w:pPr>
        <w:ind w:left="360" w:hanging="360"/>
      </w:pPr>
      <w:rPr>
        <w:rFonts w:ascii="Symbol" w:eastAsiaTheme="minorHAnsi" w:hAnsi="Symbol" w:cs="Segoe U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1B6BA9"/>
    <w:multiLevelType w:val="hybridMultilevel"/>
    <w:tmpl w:val="DE3061C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9DC13C5"/>
    <w:multiLevelType w:val="hybridMultilevel"/>
    <w:tmpl w:val="160AB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DE55B14"/>
    <w:multiLevelType w:val="hybridMultilevel"/>
    <w:tmpl w:val="03F4F3B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0C95638"/>
    <w:multiLevelType w:val="hybridMultilevel"/>
    <w:tmpl w:val="C6A09D42"/>
    <w:lvl w:ilvl="0" w:tplc="8466C8AA">
      <w:start w:val="1"/>
      <w:numFmt w:val="bullet"/>
      <w:lvlText w:val="•"/>
      <w:lvlJc w:val="left"/>
      <w:pPr>
        <w:tabs>
          <w:tab w:val="num" w:pos="720"/>
        </w:tabs>
        <w:ind w:left="720" w:hanging="360"/>
      </w:pPr>
      <w:rPr>
        <w:rFonts w:ascii="Arial" w:hAnsi="Arial" w:hint="default"/>
      </w:rPr>
    </w:lvl>
    <w:lvl w:ilvl="1" w:tplc="C84A5044" w:tentative="1">
      <w:start w:val="1"/>
      <w:numFmt w:val="bullet"/>
      <w:lvlText w:val="•"/>
      <w:lvlJc w:val="left"/>
      <w:pPr>
        <w:tabs>
          <w:tab w:val="num" w:pos="1440"/>
        </w:tabs>
        <w:ind w:left="1440" w:hanging="360"/>
      </w:pPr>
      <w:rPr>
        <w:rFonts w:ascii="Arial" w:hAnsi="Arial" w:hint="default"/>
      </w:rPr>
    </w:lvl>
    <w:lvl w:ilvl="2" w:tplc="C458F738" w:tentative="1">
      <w:start w:val="1"/>
      <w:numFmt w:val="bullet"/>
      <w:lvlText w:val="•"/>
      <w:lvlJc w:val="left"/>
      <w:pPr>
        <w:tabs>
          <w:tab w:val="num" w:pos="2160"/>
        </w:tabs>
        <w:ind w:left="2160" w:hanging="360"/>
      </w:pPr>
      <w:rPr>
        <w:rFonts w:ascii="Arial" w:hAnsi="Arial" w:hint="default"/>
      </w:rPr>
    </w:lvl>
    <w:lvl w:ilvl="3" w:tplc="A3384062" w:tentative="1">
      <w:start w:val="1"/>
      <w:numFmt w:val="bullet"/>
      <w:lvlText w:val="•"/>
      <w:lvlJc w:val="left"/>
      <w:pPr>
        <w:tabs>
          <w:tab w:val="num" w:pos="2880"/>
        </w:tabs>
        <w:ind w:left="2880" w:hanging="360"/>
      </w:pPr>
      <w:rPr>
        <w:rFonts w:ascii="Arial" w:hAnsi="Arial" w:hint="default"/>
      </w:rPr>
    </w:lvl>
    <w:lvl w:ilvl="4" w:tplc="5284FF60" w:tentative="1">
      <w:start w:val="1"/>
      <w:numFmt w:val="bullet"/>
      <w:lvlText w:val="•"/>
      <w:lvlJc w:val="left"/>
      <w:pPr>
        <w:tabs>
          <w:tab w:val="num" w:pos="3600"/>
        </w:tabs>
        <w:ind w:left="3600" w:hanging="360"/>
      </w:pPr>
      <w:rPr>
        <w:rFonts w:ascii="Arial" w:hAnsi="Arial" w:hint="default"/>
      </w:rPr>
    </w:lvl>
    <w:lvl w:ilvl="5" w:tplc="D05AB608" w:tentative="1">
      <w:start w:val="1"/>
      <w:numFmt w:val="bullet"/>
      <w:lvlText w:val="•"/>
      <w:lvlJc w:val="left"/>
      <w:pPr>
        <w:tabs>
          <w:tab w:val="num" w:pos="4320"/>
        </w:tabs>
        <w:ind w:left="4320" w:hanging="360"/>
      </w:pPr>
      <w:rPr>
        <w:rFonts w:ascii="Arial" w:hAnsi="Arial" w:hint="default"/>
      </w:rPr>
    </w:lvl>
    <w:lvl w:ilvl="6" w:tplc="FD621CE0" w:tentative="1">
      <w:start w:val="1"/>
      <w:numFmt w:val="bullet"/>
      <w:lvlText w:val="•"/>
      <w:lvlJc w:val="left"/>
      <w:pPr>
        <w:tabs>
          <w:tab w:val="num" w:pos="5040"/>
        </w:tabs>
        <w:ind w:left="5040" w:hanging="360"/>
      </w:pPr>
      <w:rPr>
        <w:rFonts w:ascii="Arial" w:hAnsi="Arial" w:hint="default"/>
      </w:rPr>
    </w:lvl>
    <w:lvl w:ilvl="7" w:tplc="290C023A" w:tentative="1">
      <w:start w:val="1"/>
      <w:numFmt w:val="bullet"/>
      <w:lvlText w:val="•"/>
      <w:lvlJc w:val="left"/>
      <w:pPr>
        <w:tabs>
          <w:tab w:val="num" w:pos="5760"/>
        </w:tabs>
        <w:ind w:left="5760" w:hanging="360"/>
      </w:pPr>
      <w:rPr>
        <w:rFonts w:ascii="Arial" w:hAnsi="Arial" w:hint="default"/>
      </w:rPr>
    </w:lvl>
    <w:lvl w:ilvl="8" w:tplc="D0062CB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12D0F03"/>
    <w:multiLevelType w:val="hybridMultilevel"/>
    <w:tmpl w:val="8828E09C"/>
    <w:lvl w:ilvl="0" w:tplc="65FE2090">
      <w:start w:val="7"/>
      <w:numFmt w:val="bullet"/>
      <w:lvlText w:val=""/>
      <w:lvlJc w:val="left"/>
      <w:pPr>
        <w:ind w:left="360" w:hanging="360"/>
      </w:pPr>
      <w:rPr>
        <w:rFonts w:ascii="Symbol" w:eastAsiaTheme="minorHAnsi" w:hAnsi="Symbol" w:cs="Segoe U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3"/>
  </w:num>
  <w:num w:numId="3">
    <w:abstractNumId w:val="25"/>
  </w:num>
  <w:num w:numId="4">
    <w:abstractNumId w:val="10"/>
  </w:num>
  <w:num w:numId="5">
    <w:abstractNumId w:val="0"/>
  </w:num>
  <w:num w:numId="6">
    <w:abstractNumId w:val="24"/>
  </w:num>
  <w:num w:numId="7">
    <w:abstractNumId w:val="24"/>
  </w:num>
  <w:num w:numId="8">
    <w:abstractNumId w:val="18"/>
  </w:num>
  <w:num w:numId="9">
    <w:abstractNumId w:val="19"/>
  </w:num>
  <w:num w:numId="10">
    <w:abstractNumId w:val="7"/>
  </w:num>
  <w:num w:numId="11">
    <w:abstractNumId w:val="16"/>
  </w:num>
  <w:num w:numId="12">
    <w:abstractNumId w:val="1"/>
  </w:num>
  <w:num w:numId="13">
    <w:abstractNumId w:val="4"/>
  </w:num>
  <w:num w:numId="14">
    <w:abstractNumId w:val="17"/>
  </w:num>
  <w:num w:numId="15">
    <w:abstractNumId w:val="12"/>
  </w:num>
  <w:num w:numId="16">
    <w:abstractNumId w:val="2"/>
  </w:num>
  <w:num w:numId="17">
    <w:abstractNumId w:val="5"/>
  </w:num>
  <w:num w:numId="18">
    <w:abstractNumId w:val="14"/>
  </w:num>
  <w:num w:numId="19">
    <w:abstractNumId w:val="28"/>
  </w:num>
  <w:num w:numId="20">
    <w:abstractNumId w:val="20"/>
  </w:num>
  <w:num w:numId="21">
    <w:abstractNumId w:val="8"/>
  </w:num>
  <w:num w:numId="22">
    <w:abstractNumId w:val="23"/>
  </w:num>
  <w:num w:numId="23">
    <w:abstractNumId w:val="9"/>
  </w:num>
  <w:num w:numId="24">
    <w:abstractNumId w:val="26"/>
  </w:num>
  <w:num w:numId="25">
    <w:abstractNumId w:val="6"/>
  </w:num>
  <w:num w:numId="26">
    <w:abstractNumId w:val="11"/>
  </w:num>
  <w:num w:numId="27">
    <w:abstractNumId w:val="27"/>
  </w:num>
  <w:num w:numId="28">
    <w:abstractNumId w:val="22"/>
  </w:num>
  <w:num w:numId="29">
    <w:abstractNumId w:val="1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BA"/>
    <w:rsid w:val="00044E66"/>
    <w:rsid w:val="00060BEB"/>
    <w:rsid w:val="000842F6"/>
    <w:rsid w:val="000C2956"/>
    <w:rsid w:val="000C69BB"/>
    <w:rsid w:val="000D619F"/>
    <w:rsid w:val="001159F3"/>
    <w:rsid w:val="0012273A"/>
    <w:rsid w:val="00136928"/>
    <w:rsid w:val="00136D31"/>
    <w:rsid w:val="00151A03"/>
    <w:rsid w:val="001643FB"/>
    <w:rsid w:val="001873F8"/>
    <w:rsid w:val="00197283"/>
    <w:rsid w:val="00197E06"/>
    <w:rsid w:val="001B2CBB"/>
    <w:rsid w:val="001C26D8"/>
    <w:rsid w:val="001F75EF"/>
    <w:rsid w:val="00211086"/>
    <w:rsid w:val="00225D1A"/>
    <w:rsid w:val="00283655"/>
    <w:rsid w:val="002F3748"/>
    <w:rsid w:val="003051BA"/>
    <w:rsid w:val="0031213E"/>
    <w:rsid w:val="003476CF"/>
    <w:rsid w:val="00382EF0"/>
    <w:rsid w:val="003A47A2"/>
    <w:rsid w:val="003C1736"/>
    <w:rsid w:val="003C7689"/>
    <w:rsid w:val="003E01ED"/>
    <w:rsid w:val="003E6ABC"/>
    <w:rsid w:val="00402784"/>
    <w:rsid w:val="00427F86"/>
    <w:rsid w:val="00443B26"/>
    <w:rsid w:val="00470E74"/>
    <w:rsid w:val="00482741"/>
    <w:rsid w:val="004A4767"/>
    <w:rsid w:val="00512EA2"/>
    <w:rsid w:val="00523E6D"/>
    <w:rsid w:val="005A78D2"/>
    <w:rsid w:val="005B444B"/>
    <w:rsid w:val="005D46CE"/>
    <w:rsid w:val="00617BF8"/>
    <w:rsid w:val="0062790C"/>
    <w:rsid w:val="00671A28"/>
    <w:rsid w:val="00671DA1"/>
    <w:rsid w:val="006911F4"/>
    <w:rsid w:val="006B7DC2"/>
    <w:rsid w:val="006E6C6D"/>
    <w:rsid w:val="006F2CC6"/>
    <w:rsid w:val="00704AAB"/>
    <w:rsid w:val="00723A34"/>
    <w:rsid w:val="00737E39"/>
    <w:rsid w:val="00744788"/>
    <w:rsid w:val="007451D2"/>
    <w:rsid w:val="00746EC9"/>
    <w:rsid w:val="00765A25"/>
    <w:rsid w:val="007A624E"/>
    <w:rsid w:val="007B2B9A"/>
    <w:rsid w:val="007D2BAE"/>
    <w:rsid w:val="008037CD"/>
    <w:rsid w:val="0081506D"/>
    <w:rsid w:val="00847406"/>
    <w:rsid w:val="008B54D1"/>
    <w:rsid w:val="00940D90"/>
    <w:rsid w:val="00942ABA"/>
    <w:rsid w:val="0097288F"/>
    <w:rsid w:val="009B3C82"/>
    <w:rsid w:val="009F18FD"/>
    <w:rsid w:val="009F4417"/>
    <w:rsid w:val="00A172BF"/>
    <w:rsid w:val="00A54F43"/>
    <w:rsid w:val="00A61BD0"/>
    <w:rsid w:val="00A63A39"/>
    <w:rsid w:val="00A86D28"/>
    <w:rsid w:val="00AE4EF3"/>
    <w:rsid w:val="00AF3BCC"/>
    <w:rsid w:val="00B34A22"/>
    <w:rsid w:val="00B36798"/>
    <w:rsid w:val="00B7353D"/>
    <w:rsid w:val="00B77B47"/>
    <w:rsid w:val="00B812D9"/>
    <w:rsid w:val="00BB4CE4"/>
    <w:rsid w:val="00BE4FE7"/>
    <w:rsid w:val="00BF65AA"/>
    <w:rsid w:val="00C04089"/>
    <w:rsid w:val="00C6216D"/>
    <w:rsid w:val="00C73FB0"/>
    <w:rsid w:val="00C75C12"/>
    <w:rsid w:val="00C90EA9"/>
    <w:rsid w:val="00C92909"/>
    <w:rsid w:val="00CC2654"/>
    <w:rsid w:val="00CC5779"/>
    <w:rsid w:val="00CE3CCC"/>
    <w:rsid w:val="00D42143"/>
    <w:rsid w:val="00D42253"/>
    <w:rsid w:val="00D43D80"/>
    <w:rsid w:val="00D602A9"/>
    <w:rsid w:val="00D9657D"/>
    <w:rsid w:val="00DC2A8C"/>
    <w:rsid w:val="00DE272F"/>
    <w:rsid w:val="00E029D7"/>
    <w:rsid w:val="00E124E7"/>
    <w:rsid w:val="00E17995"/>
    <w:rsid w:val="00E238DF"/>
    <w:rsid w:val="00E559B1"/>
    <w:rsid w:val="00E60E49"/>
    <w:rsid w:val="00EA3024"/>
    <w:rsid w:val="00EB5AF7"/>
    <w:rsid w:val="00EC65CD"/>
    <w:rsid w:val="00ED55AD"/>
    <w:rsid w:val="00EF0F80"/>
    <w:rsid w:val="00F60AC1"/>
    <w:rsid w:val="00FE519F"/>
    <w:rsid w:val="00FF44A6"/>
    <w:rsid w:val="00FF7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24CA01-8DDD-4426-9820-ECAB8BD0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42ABA"/>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rsid w:val="00942ABA"/>
    <w:rPr>
      <w:color w:val="265A9B"/>
      <w:u w:val="thick"/>
    </w:rPr>
  </w:style>
  <w:style w:type="paragraph" w:styleId="ListParagraph">
    <w:name w:val="List Paragraph"/>
    <w:basedOn w:val="Normal"/>
    <w:uiPriority w:val="34"/>
    <w:qFormat/>
    <w:rsid w:val="00C90EA9"/>
    <w:pPr>
      <w:ind w:left="720"/>
      <w:contextualSpacing/>
    </w:pPr>
  </w:style>
  <w:style w:type="paragraph" w:styleId="Header">
    <w:name w:val="header"/>
    <w:basedOn w:val="Normal"/>
    <w:link w:val="HeaderChar"/>
    <w:uiPriority w:val="99"/>
    <w:unhideWhenUsed/>
    <w:rsid w:val="00C90E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EA9"/>
  </w:style>
  <w:style w:type="paragraph" w:styleId="Footer">
    <w:name w:val="footer"/>
    <w:basedOn w:val="Normal"/>
    <w:link w:val="FooterChar"/>
    <w:uiPriority w:val="99"/>
    <w:unhideWhenUsed/>
    <w:rsid w:val="00C90E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EA9"/>
  </w:style>
  <w:style w:type="paragraph" w:styleId="BalloonText">
    <w:name w:val="Balloon Text"/>
    <w:basedOn w:val="Normal"/>
    <w:link w:val="BalloonTextChar"/>
    <w:uiPriority w:val="99"/>
    <w:semiHidden/>
    <w:unhideWhenUsed/>
    <w:rsid w:val="00C90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EA9"/>
    <w:rPr>
      <w:rFonts w:ascii="Tahoma" w:hAnsi="Tahoma" w:cs="Tahoma"/>
      <w:sz w:val="16"/>
      <w:szCs w:val="16"/>
    </w:rPr>
  </w:style>
  <w:style w:type="table" w:styleId="TableGrid">
    <w:name w:val="Table Grid"/>
    <w:basedOn w:val="TableNormal"/>
    <w:uiPriority w:val="39"/>
    <w:rsid w:val="009F4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9F4417"/>
    <w:pPr>
      <w:spacing w:after="0" w:line="240" w:lineRule="auto"/>
    </w:pPr>
    <w:tblPr>
      <w:tblStyleRowBandSize w:val="1"/>
      <w:tblStyleColBandSize w:val="1"/>
      <w:tblBorders>
        <w:top w:val="single" w:sz="8" w:space="0" w:color="66C1BF" w:themeColor="accent1"/>
        <w:left w:val="single" w:sz="8" w:space="0" w:color="66C1BF" w:themeColor="accent1"/>
        <w:bottom w:val="single" w:sz="8" w:space="0" w:color="66C1BF" w:themeColor="accent1"/>
        <w:right w:val="single" w:sz="8" w:space="0" w:color="66C1BF" w:themeColor="accent1"/>
      </w:tblBorders>
    </w:tblPr>
    <w:tblStylePr w:type="firstRow">
      <w:pPr>
        <w:spacing w:before="0" w:after="0" w:line="240" w:lineRule="auto"/>
      </w:pPr>
      <w:rPr>
        <w:b/>
        <w:bCs/>
        <w:color w:val="FFFFFF" w:themeColor="background1"/>
      </w:rPr>
      <w:tblPr/>
      <w:tcPr>
        <w:shd w:val="clear" w:color="auto" w:fill="66C1BF" w:themeFill="accent1"/>
      </w:tcPr>
    </w:tblStylePr>
    <w:tblStylePr w:type="lastRow">
      <w:pPr>
        <w:spacing w:before="0" w:after="0" w:line="240" w:lineRule="auto"/>
      </w:pPr>
      <w:rPr>
        <w:b/>
        <w:bCs/>
      </w:rPr>
      <w:tblPr/>
      <w:tcPr>
        <w:tcBorders>
          <w:top w:val="double" w:sz="6" w:space="0" w:color="66C1BF" w:themeColor="accent1"/>
          <w:left w:val="single" w:sz="8" w:space="0" w:color="66C1BF" w:themeColor="accent1"/>
          <w:bottom w:val="single" w:sz="8" w:space="0" w:color="66C1BF" w:themeColor="accent1"/>
          <w:right w:val="single" w:sz="8" w:space="0" w:color="66C1BF" w:themeColor="accent1"/>
        </w:tcBorders>
      </w:tcPr>
    </w:tblStylePr>
    <w:tblStylePr w:type="firstCol">
      <w:rPr>
        <w:b/>
        <w:bCs/>
      </w:rPr>
    </w:tblStylePr>
    <w:tblStylePr w:type="lastCol">
      <w:rPr>
        <w:b/>
        <w:bCs/>
      </w:rPr>
    </w:tblStylePr>
    <w:tblStylePr w:type="band1Vert">
      <w:tblPr/>
      <w:tcPr>
        <w:tcBorders>
          <w:top w:val="single" w:sz="8" w:space="0" w:color="66C1BF" w:themeColor="accent1"/>
          <w:left w:val="single" w:sz="8" w:space="0" w:color="66C1BF" w:themeColor="accent1"/>
          <w:bottom w:val="single" w:sz="8" w:space="0" w:color="66C1BF" w:themeColor="accent1"/>
          <w:right w:val="single" w:sz="8" w:space="0" w:color="66C1BF" w:themeColor="accent1"/>
        </w:tcBorders>
      </w:tcPr>
    </w:tblStylePr>
    <w:tblStylePr w:type="band1Horz">
      <w:tblPr/>
      <w:tcPr>
        <w:tcBorders>
          <w:top w:val="single" w:sz="8" w:space="0" w:color="66C1BF" w:themeColor="accent1"/>
          <w:left w:val="single" w:sz="8" w:space="0" w:color="66C1BF" w:themeColor="accent1"/>
          <w:bottom w:val="single" w:sz="8" w:space="0" w:color="66C1BF" w:themeColor="accent1"/>
          <w:right w:val="single" w:sz="8" w:space="0" w:color="66C1BF" w:themeColor="accent1"/>
        </w:tcBorders>
      </w:tcPr>
    </w:tblStylePr>
  </w:style>
  <w:style w:type="table" w:styleId="LightList-Accent3">
    <w:name w:val="Light List Accent 3"/>
    <w:basedOn w:val="TableNormal"/>
    <w:uiPriority w:val="61"/>
    <w:rsid w:val="009F4417"/>
    <w:pPr>
      <w:spacing w:after="0" w:line="240" w:lineRule="auto"/>
    </w:pPr>
    <w:tblPr>
      <w:tblStyleRowBandSize w:val="1"/>
      <w:tblStyleColBandSize w:val="1"/>
      <w:tblBorders>
        <w:top w:val="single" w:sz="8" w:space="0" w:color="DEDC00" w:themeColor="accent3"/>
        <w:left w:val="single" w:sz="8" w:space="0" w:color="DEDC00" w:themeColor="accent3"/>
        <w:bottom w:val="single" w:sz="8" w:space="0" w:color="DEDC00" w:themeColor="accent3"/>
        <w:right w:val="single" w:sz="8" w:space="0" w:color="DEDC00" w:themeColor="accent3"/>
      </w:tblBorders>
    </w:tblPr>
    <w:tblStylePr w:type="firstRow">
      <w:pPr>
        <w:spacing w:before="0" w:after="0" w:line="240" w:lineRule="auto"/>
      </w:pPr>
      <w:rPr>
        <w:b/>
        <w:bCs/>
        <w:color w:val="FFFFFF" w:themeColor="background1"/>
      </w:rPr>
      <w:tblPr/>
      <w:tcPr>
        <w:shd w:val="clear" w:color="auto" w:fill="DEDC00" w:themeFill="accent3"/>
      </w:tcPr>
    </w:tblStylePr>
    <w:tblStylePr w:type="lastRow">
      <w:pPr>
        <w:spacing w:before="0" w:after="0" w:line="240" w:lineRule="auto"/>
      </w:pPr>
      <w:rPr>
        <w:b/>
        <w:bCs/>
      </w:rPr>
      <w:tblPr/>
      <w:tcPr>
        <w:tcBorders>
          <w:top w:val="double" w:sz="6" w:space="0" w:color="DEDC00" w:themeColor="accent3"/>
          <w:left w:val="single" w:sz="8" w:space="0" w:color="DEDC00" w:themeColor="accent3"/>
          <w:bottom w:val="single" w:sz="8" w:space="0" w:color="DEDC00" w:themeColor="accent3"/>
          <w:right w:val="single" w:sz="8" w:space="0" w:color="DEDC00" w:themeColor="accent3"/>
        </w:tcBorders>
      </w:tcPr>
    </w:tblStylePr>
    <w:tblStylePr w:type="firstCol">
      <w:rPr>
        <w:b/>
        <w:bCs/>
      </w:rPr>
    </w:tblStylePr>
    <w:tblStylePr w:type="lastCol">
      <w:rPr>
        <w:b/>
        <w:bCs/>
      </w:rPr>
    </w:tblStylePr>
    <w:tblStylePr w:type="band1Vert">
      <w:tblPr/>
      <w:tcPr>
        <w:tcBorders>
          <w:top w:val="single" w:sz="8" w:space="0" w:color="DEDC00" w:themeColor="accent3"/>
          <w:left w:val="single" w:sz="8" w:space="0" w:color="DEDC00" w:themeColor="accent3"/>
          <w:bottom w:val="single" w:sz="8" w:space="0" w:color="DEDC00" w:themeColor="accent3"/>
          <w:right w:val="single" w:sz="8" w:space="0" w:color="DEDC00" w:themeColor="accent3"/>
        </w:tcBorders>
      </w:tcPr>
    </w:tblStylePr>
    <w:tblStylePr w:type="band1Horz">
      <w:tblPr/>
      <w:tcPr>
        <w:tcBorders>
          <w:top w:val="single" w:sz="8" w:space="0" w:color="DEDC00" w:themeColor="accent3"/>
          <w:left w:val="single" w:sz="8" w:space="0" w:color="DEDC00" w:themeColor="accent3"/>
          <w:bottom w:val="single" w:sz="8" w:space="0" w:color="DEDC00" w:themeColor="accent3"/>
          <w:right w:val="single" w:sz="8" w:space="0" w:color="DEDC00" w:themeColor="accent3"/>
        </w:tcBorders>
      </w:tcPr>
    </w:tblStylePr>
  </w:style>
  <w:style w:type="character" w:customStyle="1" w:styleId="UnresolvedMention">
    <w:name w:val="Unresolved Mention"/>
    <w:basedOn w:val="DefaultParagraphFont"/>
    <w:uiPriority w:val="99"/>
    <w:semiHidden/>
    <w:unhideWhenUsed/>
    <w:rsid w:val="00151A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03700">
      <w:bodyDiv w:val="1"/>
      <w:marLeft w:val="0"/>
      <w:marRight w:val="0"/>
      <w:marTop w:val="0"/>
      <w:marBottom w:val="0"/>
      <w:divBdr>
        <w:top w:val="none" w:sz="0" w:space="0" w:color="auto"/>
        <w:left w:val="none" w:sz="0" w:space="0" w:color="auto"/>
        <w:bottom w:val="none" w:sz="0" w:space="0" w:color="auto"/>
        <w:right w:val="none" w:sz="0" w:space="0" w:color="auto"/>
      </w:divBdr>
    </w:div>
    <w:div w:id="252401288">
      <w:bodyDiv w:val="1"/>
      <w:marLeft w:val="0"/>
      <w:marRight w:val="0"/>
      <w:marTop w:val="0"/>
      <w:marBottom w:val="0"/>
      <w:divBdr>
        <w:top w:val="none" w:sz="0" w:space="0" w:color="auto"/>
        <w:left w:val="none" w:sz="0" w:space="0" w:color="auto"/>
        <w:bottom w:val="none" w:sz="0" w:space="0" w:color="auto"/>
        <w:right w:val="none" w:sz="0" w:space="0" w:color="auto"/>
      </w:divBdr>
    </w:div>
    <w:div w:id="417139337">
      <w:bodyDiv w:val="1"/>
      <w:marLeft w:val="0"/>
      <w:marRight w:val="0"/>
      <w:marTop w:val="0"/>
      <w:marBottom w:val="0"/>
      <w:divBdr>
        <w:top w:val="none" w:sz="0" w:space="0" w:color="auto"/>
        <w:left w:val="none" w:sz="0" w:space="0" w:color="auto"/>
        <w:bottom w:val="none" w:sz="0" w:space="0" w:color="auto"/>
        <w:right w:val="none" w:sz="0" w:space="0" w:color="auto"/>
      </w:divBdr>
    </w:div>
    <w:div w:id="430468307">
      <w:bodyDiv w:val="1"/>
      <w:marLeft w:val="0"/>
      <w:marRight w:val="0"/>
      <w:marTop w:val="0"/>
      <w:marBottom w:val="0"/>
      <w:divBdr>
        <w:top w:val="none" w:sz="0" w:space="0" w:color="auto"/>
        <w:left w:val="none" w:sz="0" w:space="0" w:color="auto"/>
        <w:bottom w:val="none" w:sz="0" w:space="0" w:color="auto"/>
        <w:right w:val="none" w:sz="0" w:space="0" w:color="auto"/>
      </w:divBdr>
    </w:div>
    <w:div w:id="696852575">
      <w:bodyDiv w:val="1"/>
      <w:marLeft w:val="0"/>
      <w:marRight w:val="0"/>
      <w:marTop w:val="0"/>
      <w:marBottom w:val="0"/>
      <w:divBdr>
        <w:top w:val="none" w:sz="0" w:space="0" w:color="auto"/>
        <w:left w:val="none" w:sz="0" w:space="0" w:color="auto"/>
        <w:bottom w:val="none" w:sz="0" w:space="0" w:color="auto"/>
        <w:right w:val="none" w:sz="0" w:space="0" w:color="auto"/>
      </w:divBdr>
    </w:div>
    <w:div w:id="724377739">
      <w:bodyDiv w:val="1"/>
      <w:marLeft w:val="0"/>
      <w:marRight w:val="0"/>
      <w:marTop w:val="0"/>
      <w:marBottom w:val="0"/>
      <w:divBdr>
        <w:top w:val="none" w:sz="0" w:space="0" w:color="auto"/>
        <w:left w:val="none" w:sz="0" w:space="0" w:color="auto"/>
        <w:bottom w:val="none" w:sz="0" w:space="0" w:color="auto"/>
        <w:right w:val="none" w:sz="0" w:space="0" w:color="auto"/>
      </w:divBdr>
    </w:div>
    <w:div w:id="911231600">
      <w:bodyDiv w:val="1"/>
      <w:marLeft w:val="0"/>
      <w:marRight w:val="0"/>
      <w:marTop w:val="0"/>
      <w:marBottom w:val="0"/>
      <w:divBdr>
        <w:top w:val="none" w:sz="0" w:space="0" w:color="auto"/>
        <w:left w:val="none" w:sz="0" w:space="0" w:color="auto"/>
        <w:bottom w:val="none" w:sz="0" w:space="0" w:color="auto"/>
        <w:right w:val="none" w:sz="0" w:space="0" w:color="auto"/>
      </w:divBdr>
    </w:div>
    <w:div w:id="1000084303">
      <w:bodyDiv w:val="1"/>
      <w:marLeft w:val="0"/>
      <w:marRight w:val="0"/>
      <w:marTop w:val="0"/>
      <w:marBottom w:val="0"/>
      <w:divBdr>
        <w:top w:val="none" w:sz="0" w:space="0" w:color="auto"/>
        <w:left w:val="none" w:sz="0" w:space="0" w:color="auto"/>
        <w:bottom w:val="none" w:sz="0" w:space="0" w:color="auto"/>
        <w:right w:val="none" w:sz="0" w:space="0" w:color="auto"/>
      </w:divBdr>
      <w:divsChild>
        <w:div w:id="1161889988">
          <w:marLeft w:val="446"/>
          <w:marRight w:val="0"/>
          <w:marTop w:val="0"/>
          <w:marBottom w:val="120"/>
          <w:divBdr>
            <w:top w:val="none" w:sz="0" w:space="0" w:color="auto"/>
            <w:left w:val="none" w:sz="0" w:space="0" w:color="auto"/>
            <w:bottom w:val="none" w:sz="0" w:space="0" w:color="auto"/>
            <w:right w:val="none" w:sz="0" w:space="0" w:color="auto"/>
          </w:divBdr>
        </w:div>
        <w:div w:id="1407268465">
          <w:marLeft w:val="446"/>
          <w:marRight w:val="0"/>
          <w:marTop w:val="0"/>
          <w:marBottom w:val="120"/>
          <w:divBdr>
            <w:top w:val="none" w:sz="0" w:space="0" w:color="auto"/>
            <w:left w:val="none" w:sz="0" w:space="0" w:color="auto"/>
            <w:bottom w:val="none" w:sz="0" w:space="0" w:color="auto"/>
            <w:right w:val="none" w:sz="0" w:space="0" w:color="auto"/>
          </w:divBdr>
        </w:div>
        <w:div w:id="1066562211">
          <w:marLeft w:val="446"/>
          <w:marRight w:val="0"/>
          <w:marTop w:val="0"/>
          <w:marBottom w:val="120"/>
          <w:divBdr>
            <w:top w:val="none" w:sz="0" w:space="0" w:color="auto"/>
            <w:left w:val="none" w:sz="0" w:space="0" w:color="auto"/>
            <w:bottom w:val="none" w:sz="0" w:space="0" w:color="auto"/>
            <w:right w:val="none" w:sz="0" w:space="0" w:color="auto"/>
          </w:divBdr>
        </w:div>
        <w:div w:id="129565164">
          <w:marLeft w:val="446"/>
          <w:marRight w:val="0"/>
          <w:marTop w:val="0"/>
          <w:marBottom w:val="120"/>
          <w:divBdr>
            <w:top w:val="none" w:sz="0" w:space="0" w:color="auto"/>
            <w:left w:val="none" w:sz="0" w:space="0" w:color="auto"/>
            <w:bottom w:val="none" w:sz="0" w:space="0" w:color="auto"/>
            <w:right w:val="none" w:sz="0" w:space="0" w:color="auto"/>
          </w:divBdr>
        </w:div>
      </w:divsChild>
    </w:div>
    <w:div w:id="1313481358">
      <w:bodyDiv w:val="1"/>
      <w:marLeft w:val="0"/>
      <w:marRight w:val="0"/>
      <w:marTop w:val="0"/>
      <w:marBottom w:val="0"/>
      <w:divBdr>
        <w:top w:val="none" w:sz="0" w:space="0" w:color="auto"/>
        <w:left w:val="none" w:sz="0" w:space="0" w:color="auto"/>
        <w:bottom w:val="none" w:sz="0" w:space="0" w:color="auto"/>
        <w:right w:val="none" w:sz="0" w:space="0" w:color="auto"/>
      </w:divBdr>
    </w:div>
    <w:div w:id="1388577305">
      <w:bodyDiv w:val="1"/>
      <w:marLeft w:val="0"/>
      <w:marRight w:val="0"/>
      <w:marTop w:val="0"/>
      <w:marBottom w:val="0"/>
      <w:divBdr>
        <w:top w:val="none" w:sz="0" w:space="0" w:color="auto"/>
        <w:left w:val="none" w:sz="0" w:space="0" w:color="auto"/>
        <w:bottom w:val="none" w:sz="0" w:space="0" w:color="auto"/>
        <w:right w:val="none" w:sz="0" w:space="0" w:color="auto"/>
      </w:divBdr>
    </w:div>
    <w:div w:id="1452942418">
      <w:bodyDiv w:val="1"/>
      <w:marLeft w:val="0"/>
      <w:marRight w:val="0"/>
      <w:marTop w:val="0"/>
      <w:marBottom w:val="0"/>
      <w:divBdr>
        <w:top w:val="none" w:sz="0" w:space="0" w:color="auto"/>
        <w:left w:val="none" w:sz="0" w:space="0" w:color="auto"/>
        <w:bottom w:val="none" w:sz="0" w:space="0" w:color="auto"/>
        <w:right w:val="none" w:sz="0" w:space="0" w:color="auto"/>
      </w:divBdr>
    </w:div>
    <w:div w:id="1691487421">
      <w:bodyDiv w:val="1"/>
      <w:marLeft w:val="0"/>
      <w:marRight w:val="0"/>
      <w:marTop w:val="0"/>
      <w:marBottom w:val="0"/>
      <w:divBdr>
        <w:top w:val="none" w:sz="0" w:space="0" w:color="auto"/>
        <w:left w:val="none" w:sz="0" w:space="0" w:color="auto"/>
        <w:bottom w:val="none" w:sz="0" w:space="0" w:color="auto"/>
        <w:right w:val="none" w:sz="0" w:space="0" w:color="auto"/>
      </w:divBdr>
    </w:div>
    <w:div w:id="1793130500">
      <w:bodyDiv w:val="1"/>
      <w:marLeft w:val="0"/>
      <w:marRight w:val="0"/>
      <w:marTop w:val="0"/>
      <w:marBottom w:val="0"/>
      <w:divBdr>
        <w:top w:val="none" w:sz="0" w:space="0" w:color="auto"/>
        <w:left w:val="none" w:sz="0" w:space="0" w:color="auto"/>
        <w:bottom w:val="none" w:sz="0" w:space="0" w:color="auto"/>
        <w:right w:val="none" w:sz="0" w:space="0" w:color="auto"/>
      </w:divBdr>
    </w:div>
    <w:div w:id="1845516290">
      <w:bodyDiv w:val="1"/>
      <w:marLeft w:val="0"/>
      <w:marRight w:val="0"/>
      <w:marTop w:val="0"/>
      <w:marBottom w:val="0"/>
      <w:divBdr>
        <w:top w:val="none" w:sz="0" w:space="0" w:color="auto"/>
        <w:left w:val="none" w:sz="0" w:space="0" w:color="auto"/>
        <w:bottom w:val="none" w:sz="0" w:space="0" w:color="auto"/>
        <w:right w:val="none" w:sz="0" w:space="0" w:color="auto"/>
      </w:divBdr>
    </w:div>
    <w:div w:id="1859195657">
      <w:bodyDiv w:val="1"/>
      <w:marLeft w:val="0"/>
      <w:marRight w:val="0"/>
      <w:marTop w:val="0"/>
      <w:marBottom w:val="0"/>
      <w:divBdr>
        <w:top w:val="none" w:sz="0" w:space="0" w:color="auto"/>
        <w:left w:val="none" w:sz="0" w:space="0" w:color="auto"/>
        <w:bottom w:val="none" w:sz="0" w:space="0" w:color="auto"/>
        <w:right w:val="none" w:sz="0" w:space="0" w:color="auto"/>
      </w:divBdr>
    </w:div>
    <w:div w:id="1898472708">
      <w:bodyDiv w:val="1"/>
      <w:marLeft w:val="0"/>
      <w:marRight w:val="0"/>
      <w:marTop w:val="0"/>
      <w:marBottom w:val="0"/>
      <w:divBdr>
        <w:top w:val="none" w:sz="0" w:space="0" w:color="auto"/>
        <w:left w:val="none" w:sz="0" w:space="0" w:color="auto"/>
        <w:bottom w:val="none" w:sz="0" w:space="0" w:color="auto"/>
        <w:right w:val="none" w:sz="0" w:space="0" w:color="auto"/>
      </w:divBdr>
      <w:divsChild>
        <w:div w:id="2141414321">
          <w:marLeft w:val="547"/>
          <w:marRight w:val="0"/>
          <w:marTop w:val="0"/>
          <w:marBottom w:val="0"/>
          <w:divBdr>
            <w:top w:val="none" w:sz="0" w:space="0" w:color="auto"/>
            <w:left w:val="none" w:sz="0" w:space="0" w:color="auto"/>
            <w:bottom w:val="none" w:sz="0" w:space="0" w:color="auto"/>
            <w:right w:val="none" w:sz="0" w:space="0" w:color="auto"/>
          </w:divBdr>
        </w:div>
        <w:div w:id="500656218">
          <w:marLeft w:val="547"/>
          <w:marRight w:val="0"/>
          <w:marTop w:val="0"/>
          <w:marBottom w:val="0"/>
          <w:divBdr>
            <w:top w:val="none" w:sz="0" w:space="0" w:color="auto"/>
            <w:left w:val="none" w:sz="0" w:space="0" w:color="auto"/>
            <w:bottom w:val="none" w:sz="0" w:space="0" w:color="auto"/>
            <w:right w:val="none" w:sz="0" w:space="0" w:color="auto"/>
          </w:divBdr>
        </w:div>
        <w:div w:id="718093586">
          <w:marLeft w:val="547"/>
          <w:marRight w:val="0"/>
          <w:marTop w:val="0"/>
          <w:marBottom w:val="0"/>
          <w:divBdr>
            <w:top w:val="none" w:sz="0" w:space="0" w:color="auto"/>
            <w:left w:val="none" w:sz="0" w:space="0" w:color="auto"/>
            <w:bottom w:val="none" w:sz="0" w:space="0" w:color="auto"/>
            <w:right w:val="none" w:sz="0" w:space="0" w:color="auto"/>
          </w:divBdr>
        </w:div>
        <w:div w:id="2075657553">
          <w:marLeft w:val="547"/>
          <w:marRight w:val="0"/>
          <w:marTop w:val="0"/>
          <w:marBottom w:val="0"/>
          <w:divBdr>
            <w:top w:val="none" w:sz="0" w:space="0" w:color="auto"/>
            <w:left w:val="none" w:sz="0" w:space="0" w:color="auto"/>
            <w:bottom w:val="none" w:sz="0" w:space="0" w:color="auto"/>
            <w:right w:val="none" w:sz="0" w:space="0" w:color="auto"/>
          </w:divBdr>
        </w:div>
      </w:divsChild>
    </w:div>
    <w:div w:id="194098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3CC2C.ED279D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mydentist colours">
      <a:dk1>
        <a:sysClr val="windowText" lastClr="000000"/>
      </a:dk1>
      <a:lt1>
        <a:sysClr val="window" lastClr="FFFFFF"/>
      </a:lt1>
      <a:dk2>
        <a:srgbClr val="1F497D"/>
      </a:dk2>
      <a:lt2>
        <a:srgbClr val="EEECE1"/>
      </a:lt2>
      <a:accent1>
        <a:srgbClr val="66C1BF"/>
      </a:accent1>
      <a:accent2>
        <a:srgbClr val="BA4E97"/>
      </a:accent2>
      <a:accent3>
        <a:srgbClr val="DEDC00"/>
      </a:accent3>
      <a:accent4>
        <a:srgbClr val="FFDF00"/>
      </a:accent4>
      <a:accent5>
        <a:srgbClr val="869492"/>
      </a:accent5>
      <a:accent6>
        <a:srgbClr val="404846"/>
      </a:accent6>
      <a:hlink>
        <a:srgbClr val="0000FF"/>
      </a:hlink>
      <a:folHlink>
        <a:srgbClr val="800080"/>
      </a:folHlink>
    </a:clrScheme>
    <a:fontScheme name="mydentist font">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Slack</dc:creator>
  <cp:lastModifiedBy>Lindsay Connolly</cp:lastModifiedBy>
  <cp:revision>4</cp:revision>
  <dcterms:created xsi:type="dcterms:W3CDTF">2018-04-05T08:35:00Z</dcterms:created>
  <dcterms:modified xsi:type="dcterms:W3CDTF">2018-04-05T08:36:00Z</dcterms:modified>
</cp:coreProperties>
</file>